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spacing w:before="1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Style w:val="Heading1"/>
        <w:keepNext w:val="0"/>
        <w:keepLines w:val="0"/>
        <w:spacing w:before="480" w:line="415.19999999999993" w:lineRule="auto"/>
        <w:jc w:val="center"/>
        <w:rPr>
          <w:rFonts w:ascii="Times New Roman" w:cs="Times New Roman" w:eastAsia="Times New Roman" w:hAnsi="Times New Roman"/>
          <w:b w:val="1"/>
          <w:bCs w:val="1"/>
          <w:sz w:val="24"/>
          <w:szCs w:val="24"/>
        </w:rPr>
      </w:pPr>
      <w:bookmarkStart w:colFirst="0" w:colLast="0" w:name="_c5ar0bfvgc9r" w:id="0"/>
      <w:bookmarkEnd w:id="0"/>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A">
      <w:pPr>
        <w:pStyle w:val="Heading1"/>
        <w:keepNext w:val="0"/>
        <w:keepLines w:val="0"/>
        <w:spacing w:before="480" w:line="415.19999999999993" w:lineRule="auto"/>
        <w:jc w:val="center"/>
        <w:rPr>
          <w:rFonts w:ascii="Times New Roman" w:cs="Times New Roman" w:eastAsia="Times New Roman" w:hAnsi="Times New Roman"/>
          <w:b w:val="1"/>
          <w:bCs w:val="1"/>
          <w:sz w:val="24"/>
          <w:szCs w:val="24"/>
        </w:rPr>
      </w:pPr>
      <w:bookmarkStart w:colFirst="0" w:colLast="0" w:name="_idhtk4n3lj0j" w:id="1"/>
      <w:bookmarkEnd w:id="1"/>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B">
      <w:pPr>
        <w:pStyle w:val="Heading1"/>
        <w:keepNext w:val="0"/>
        <w:keepLines w:val="0"/>
        <w:spacing w:before="480" w:line="415.19999999999993" w:lineRule="auto"/>
        <w:jc w:val="center"/>
        <w:rPr>
          <w:rFonts w:ascii="Times New Roman" w:cs="Times New Roman" w:eastAsia="Times New Roman" w:hAnsi="Times New Roman"/>
          <w:b w:val="1"/>
          <w:bCs w:val="1"/>
          <w:sz w:val="24"/>
          <w:szCs w:val="24"/>
        </w:rPr>
      </w:pPr>
      <w:bookmarkStart w:colFirst="0" w:colLast="0" w:name="_gzhe62hggnh9" w:id="2"/>
      <w:bookmarkEnd w:id="2"/>
      <w:r w:rsidDel="00000000" w:rsidR="00000000" w:rsidRPr="00000000">
        <w:rPr>
          <w:rFonts w:ascii="Times New Roman" w:cs="Times New Roman" w:eastAsia="Times New Roman" w:hAnsi="Times New Roman"/>
          <w:b w:val="1"/>
          <w:bCs w:val="1"/>
          <w:sz w:val="24"/>
          <w:szCs w:val="24"/>
          <w:rtl w:val="0"/>
        </w:rPr>
        <w:t xml:space="preserve">The Cost of the Grind: Assessing the Impact of Leader Workaholism on Food Safety Compliance and Employee Retention</w:t>
      </w:r>
    </w:p>
    <w:p w:rsidR="00000000" w:rsidDel="00000000" w:rsidP="00000000" w:rsidRDefault="00000000" w:rsidRPr="00000000" w14:paraId="0000000C">
      <w:pPr>
        <w:spacing w:before="80"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R. Perez</w:t>
      </w:r>
    </w:p>
    <w:p w:rsidR="00000000" w:rsidDel="00000000" w:rsidP="00000000" w:rsidRDefault="00000000" w:rsidRPr="00000000" w14:paraId="0000000E">
      <w:pPr>
        <w:spacing w:before="200" w:line="415.20000000000005" w:lineRule="auto"/>
        <w:ind w:left="1580" w:right="15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Management and Marketing Department</w:t>
      </w:r>
    </w:p>
    <w:p w:rsidR="00000000" w:rsidDel="00000000" w:rsidP="00000000" w:rsidRDefault="00000000" w:rsidRPr="00000000" w14:paraId="0000000F">
      <w:pPr>
        <w:spacing w:before="200" w:line="415.20000000000005" w:lineRule="auto"/>
        <w:ind w:left="1580" w:right="15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California State University, Bakersfield</w:t>
      </w:r>
    </w:p>
    <w:p w:rsidR="00000000" w:rsidDel="00000000" w:rsidP="00000000" w:rsidRDefault="00000000" w:rsidRPr="00000000" w14:paraId="00000010">
      <w:pPr>
        <w:spacing w:before="200" w:line="415.20000000000005" w:lineRule="auto"/>
        <w:ind w:left="1580" w:right="15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Grimm Family Center of Business and Agriculture</w:t>
      </w:r>
    </w:p>
    <w:p w:rsidR="00000000" w:rsidDel="00000000" w:rsidP="00000000" w:rsidRDefault="00000000" w:rsidRPr="00000000" w14:paraId="00000011">
      <w:pPr>
        <w:spacing w:before="200" w:line="415.20000000000005" w:lineRule="auto"/>
        <w:ind w:left="1580" w:right="15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2025-2026 Student Research Scholars</w:t>
      </w:r>
    </w:p>
    <w:p w:rsidR="00000000" w:rsidDel="00000000" w:rsidP="00000000" w:rsidRDefault="00000000" w:rsidRPr="00000000" w14:paraId="00000012">
      <w:pPr>
        <w:spacing w:line="415.20000000000005" w:lineRule="auto"/>
        <w:ind w:left="2940" w:right="29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Eperez140@csub.edu</w:t>
      </w:r>
    </w:p>
    <w:p w:rsidR="00000000" w:rsidDel="00000000" w:rsidP="00000000" w:rsidRDefault="00000000" w:rsidRPr="00000000" w14:paraId="00000013">
      <w:pPr>
        <w:spacing w:after="0" w:before="0" w:line="480" w:lineRule="auto"/>
        <w:jc w:val="center"/>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1"/>
        <w:keepNext w:val="0"/>
        <w:keepLines w:val="0"/>
        <w:spacing w:after="0" w:before="0" w:line="480" w:lineRule="auto"/>
        <w:ind w:left="60" w:firstLine="20"/>
        <w:jc w:val="center"/>
        <w:rPr>
          <w:rFonts w:ascii="Times New Roman" w:cs="Times New Roman" w:eastAsia="Times New Roman" w:hAnsi="Times New Roman"/>
          <w:b w:val="1"/>
          <w:bCs w:val="1"/>
          <w:sz w:val="24"/>
          <w:szCs w:val="24"/>
        </w:rPr>
      </w:pPr>
      <w:bookmarkStart w:colFirst="0" w:colLast="0" w:name="_vgskl45vhl0r" w:id="3"/>
      <w:bookmarkEnd w:id="3"/>
      <w:r w:rsidDel="00000000" w:rsidR="00000000" w:rsidRPr="00000000">
        <w:rPr>
          <w:rFonts w:ascii="Times New Roman" w:cs="Times New Roman" w:eastAsia="Times New Roman" w:hAnsi="Times New Roman"/>
          <w:b w:val="1"/>
          <w:bCs w:val="1"/>
          <w:sz w:val="24"/>
          <w:szCs w:val="24"/>
          <w:rtl w:val="0"/>
        </w:rPr>
        <w:t xml:space="preserve">Abstract</w:t>
      </w:r>
    </w:p>
    <w:p w:rsidR="00000000" w:rsidDel="00000000" w:rsidP="00000000" w:rsidRDefault="00000000" w:rsidRPr="00000000" w14:paraId="00000015">
      <w:pPr>
        <w:spacing w:after="0" w:before="0" w:line="480" w:lineRule="auto"/>
        <w:ind w:left="60" w:right="10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agriculture and food processing industries face significant challenges regarding food safety compliance and high employee turnover. While leadership behaviors are known to influence these outcomes, the specific impact of leader workaholism remains underexplored in this sector. This study investigated the relationships between leader workaholism, food safety compliance, turnover intention, emotional exhaustion, job satisfaction, and after-hours work contact. Using an online survey, data were collected from a sample of 203 employees in the agriculture and food processing industry in Kern County, California. Hierarchical ordinary least squares (OLS) regression and bootstrapped mediation analyses (Hayes PROCESS Model 4) were conducted to test the hypotheses. Results indicated that leader workaholism was negatively associated with food safety compliance and positively associated with turnover intention. Furthermore, emotional exhaustion and job satisfaction partially mediated the relationship between leader workaholism and turnover intention, while after-hours work contact significantly predicted emotional exhaustion. All five hypotheses were supported. These findings highlight the detrimental effects of workaholic leadership norms on critical organizational and safety outcomes, underscoring the need for systemic interventions to promote healthier supervisory expectations.</w:t>
      </w:r>
    </w:p>
    <w:p w:rsidR="00000000" w:rsidDel="00000000" w:rsidP="00000000" w:rsidRDefault="00000000" w:rsidRPr="00000000" w14:paraId="00000016">
      <w:pPr>
        <w:spacing w:after="0" w:before="0" w:line="480" w:lineRule="auto"/>
        <w:ind w:left="60" w:firstLine="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17">
      <w:pPr>
        <w:spacing w:after="0" w:before="0" w:line="480" w:lineRule="auto"/>
        <w:ind w:left="60" w:firstLine="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18">
      <w:pPr>
        <w:spacing w:after="0" w:before="0" w:line="480" w:lineRule="auto"/>
        <w:ind w:left="60" w:firstLine="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19">
      <w:pPr>
        <w:spacing w:after="0" w:before="0" w:line="480" w:lineRule="auto"/>
        <w:ind w:left="60" w:firstLine="20"/>
        <w:jc w:val="both"/>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1A">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 Keywords: </w:t>
      </w:r>
      <w:r w:rsidDel="00000000" w:rsidR="00000000" w:rsidRPr="00000000">
        <w:rPr>
          <w:rFonts w:ascii="Times New Roman" w:cs="Times New Roman" w:eastAsia="Times New Roman" w:hAnsi="Times New Roman"/>
          <w:sz w:val="24"/>
          <w:szCs w:val="24"/>
          <w:rtl w:val="0"/>
        </w:rPr>
        <w:t xml:space="preserve">leader workaholism, food safety compliance, turnover intention, emotional exhaustion, agriculture, food processing</w:t>
      </w:r>
    </w:p>
    <w:p w:rsidR="00000000" w:rsidDel="00000000" w:rsidP="00000000" w:rsidRDefault="00000000" w:rsidRPr="00000000" w14:paraId="0000001B">
      <w:pPr>
        <w:spacing w:after="0" w:before="0" w:line="48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The Cost of the Grind: Assessing the Impact of Leader Workaholism on Food Safety Compliance and Employee Retention</w:t>
      </w:r>
    </w:p>
    <w:p w:rsidR="00000000" w:rsidDel="00000000" w:rsidP="00000000" w:rsidRDefault="00000000" w:rsidRPr="00000000" w14:paraId="0000001C">
      <w:pPr>
        <w:spacing w:after="0" w:before="0" w:line="480" w:lineRule="auto"/>
        <w:ind w:lef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agriculture and food processing industry is a cornerstone of the United States' food supply chain and economic infrastructure. This sector employs millions of workers across diverse roles, including field laborers and packing-house workers, processing-facility employees, and administrative staff, and faces persistent challenges related to food safety compliance and high employee turnover (Ko &amp; Kang, 2019; U.S. Bureau of Labor Statistics, 2023). Failures in food safety compliance can have severe consequences, including public health outbreaks, regulatory penalties, and lasting reputational damage (Neal &amp; Griffin, 2006). Similarly, high turnover rates impose substantial costs on organizations through recruitment, training, and lost institutional knowledge (Colarelli, 1984).</w:t>
      </w:r>
    </w:p>
    <w:p w:rsidR="00000000" w:rsidDel="00000000" w:rsidP="00000000" w:rsidRDefault="00000000" w:rsidRPr="00000000" w14:paraId="0000001D">
      <w:pPr>
        <w:spacing w:after="0" w:before="0" w:line="480" w:lineRule="auto"/>
        <w:ind w:left="60" w:right="2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Leadership behavior is widely recognized as a key determinant of employee attitudes and safety-related outcomes (Clark et al., 2016; Ko &amp; Kang, 2019). Supervisors shape workplace norms, model behaviors, and set implicit expectations that employees observe and often emulate (Bandura, 1977). When leaders prioritize relentless exertion and continuous availability, they create a climate that compromises employee well-being and undermines adherence to safety protocols. One particularly consequential but underexamined leadership characteristic is workaholism.</w:t>
      </w:r>
    </w:p>
    <w:p w:rsidR="00000000" w:rsidDel="00000000" w:rsidP="00000000" w:rsidRDefault="00000000" w:rsidRPr="00000000" w14:paraId="0000001E">
      <w:pPr>
        <w:spacing w:after="0" w:before="0" w:line="480" w:lineRule="auto"/>
        <w:ind w:left="60" w:right="2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Workaholism , coined by Oates (1971) as an uncontrollable compulsion to work , has since been defined in the organizational literature as a pattern of working excessively and working compulsively (Schaufeli et al., 2009). Workaholic leaders not only expose themselves to burnout and health risks, but their behaviors also generate downstream effects on subordinates, including increased after-hours contact, heightened emotional exhaustion, and diminished job satisfaction (Clark et al., 2020). Despite this growing body of evidence, little research has examined the consequences of leader workaholism within the agriculture and food processing sector, an industry uniquely vulnerable due to its demanding physical conditions, tight safety regulations, and high workforce turnover.</w:t>
      </w:r>
    </w:p>
    <w:p w:rsidR="00000000" w:rsidDel="00000000" w:rsidP="00000000" w:rsidRDefault="00000000" w:rsidRPr="00000000" w14:paraId="0000001F">
      <w:pPr>
        <w:spacing w:after="0" w:before="0" w:line="480" w:lineRule="auto"/>
        <w:ind w:left="60" w:right="10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addresses this gap by examining how perceived leader workaholism among employees in agriculture and food processing relates to food safety compliance, turnover intention, emotional exhaustion, and job satisfaction. Drawing on Conservation of Resources (COR) theory (Hobfoll, 1989) and role conflict theory (Greenhaus &amp; Beutell, 1985) as primary theoretical frameworks and drawing on social learning theory (Bandura, 1977) as a supplementary lens for understanding behavioral modeling, we propose a theoretically grounded model in which leader workaholism directly undermines key employee outcomes and operates through mechanisms of emotional exhaustion and reduced job satisfaction.</w:t>
      </w:r>
    </w:p>
    <w:p w:rsidR="00000000" w:rsidDel="00000000" w:rsidP="00000000" w:rsidRDefault="00000000" w:rsidRPr="00000000" w14:paraId="00000020">
      <w:pPr>
        <w:pStyle w:val="Heading1"/>
        <w:keepNext w:val="0"/>
        <w:keepLines w:val="0"/>
        <w:spacing w:after="0" w:before="0" w:line="480" w:lineRule="auto"/>
        <w:ind w:left="60" w:firstLine="20"/>
        <w:jc w:val="center"/>
        <w:rPr>
          <w:rFonts w:ascii="Times New Roman" w:cs="Times New Roman" w:eastAsia="Times New Roman" w:hAnsi="Times New Roman"/>
          <w:b w:val="1"/>
          <w:bCs w:val="1"/>
          <w:sz w:val="24"/>
          <w:szCs w:val="24"/>
        </w:rPr>
      </w:pPr>
      <w:bookmarkStart w:colFirst="0" w:colLast="0" w:name="_bfm9mcumt7fn" w:id="4"/>
      <w:bookmarkEnd w:id="4"/>
      <w:r w:rsidDel="00000000" w:rsidR="00000000" w:rsidRPr="00000000">
        <w:rPr>
          <w:rFonts w:ascii="Times New Roman" w:cs="Times New Roman" w:eastAsia="Times New Roman" w:hAnsi="Times New Roman"/>
          <w:b w:val="1"/>
          <w:bCs w:val="1"/>
          <w:sz w:val="24"/>
          <w:szCs w:val="24"/>
          <w:rtl w:val="0"/>
        </w:rPr>
        <w:t xml:space="preserve">Theoretical Framework</w:t>
      </w:r>
    </w:p>
    <w:p w:rsidR="00000000" w:rsidDel="00000000" w:rsidP="00000000" w:rsidRDefault="00000000" w:rsidRPr="00000000" w14:paraId="00000021">
      <w:pPr>
        <w:spacing w:after="0" w:before="0" w:line="480" w:lineRule="auto"/>
        <w:ind w:left="6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Conservation of Resources (COR) Theory. </w:t>
      </w:r>
      <w:r w:rsidDel="00000000" w:rsidR="00000000" w:rsidRPr="00000000">
        <w:rPr>
          <w:rFonts w:ascii="Times New Roman" w:cs="Times New Roman" w:eastAsia="Times New Roman" w:hAnsi="Times New Roman"/>
          <w:sz w:val="24"/>
          <w:szCs w:val="24"/>
          <w:rtl w:val="0"/>
        </w:rPr>
        <w:t xml:space="preserve">COR theory (Hobfoll, 1989) posits that individuals are motivated to acquire, retain, and protect personal resources (including energy, time, and psychological well-being). When environmental demands threaten or deplete these resources, stress and strain follow. Workaholic supervisors, by modeling excessive work hours and maintaining near-constant availability, signal to employees that such patterns are normative and expected. This implicit pressure erodes employees' recovery time and personal resources, increasing their vulnerability to emotional exhaustion and diminishing their capacity for careful, procedurally correct food safety behaviors.</w:t>
      </w:r>
    </w:p>
    <w:p w:rsidR="00000000" w:rsidDel="00000000" w:rsidP="00000000" w:rsidRDefault="00000000" w:rsidRPr="00000000" w14:paraId="00000022">
      <w:pPr>
        <w:spacing w:after="0" w:before="0" w:line="480" w:lineRule="auto"/>
        <w:ind w:left="60"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Role Conflict Theory. </w:t>
      </w:r>
      <w:r w:rsidDel="00000000" w:rsidR="00000000" w:rsidRPr="00000000">
        <w:rPr>
          <w:rFonts w:ascii="Times New Roman" w:cs="Times New Roman" w:eastAsia="Times New Roman" w:hAnsi="Times New Roman"/>
          <w:sz w:val="24"/>
          <w:szCs w:val="24"/>
          <w:rtl w:val="0"/>
        </w:rPr>
        <w:t xml:space="preserve">Greenhaus and Beutell (1985) defined role conflict as the extent to which one role's demands make participation in another role more difficult. When workaholic supervisors extend the de facto boundaries of the workday through after-hours communication and escalating task demands; they intensify role conflict for employees. Workers who are psychologically unable to disengage from work-related demands are less able to recover and replenish the cognitive and attentional resources necessary for sustained safety compliance.</w:t>
      </w:r>
    </w:p>
    <w:p w:rsidR="00000000" w:rsidDel="00000000" w:rsidP="00000000" w:rsidRDefault="00000000" w:rsidRPr="00000000" w14:paraId="00000023">
      <w:pPr>
        <w:spacing w:after="0" w:before="0" w:line="480" w:lineRule="auto"/>
        <w:ind w:left="6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Social Learning Theory. </w:t>
      </w:r>
      <w:r w:rsidDel="00000000" w:rsidR="00000000" w:rsidRPr="00000000">
        <w:rPr>
          <w:rFonts w:ascii="Times New Roman" w:cs="Times New Roman" w:eastAsia="Times New Roman" w:hAnsi="Times New Roman"/>
          <w:sz w:val="24"/>
          <w:szCs w:val="24"/>
          <w:rtl w:val="0"/>
        </w:rPr>
        <w:t xml:space="preserve">According to Bandura (1977), individuals acquire attitudes and behaviors by observing and modeling the actions of influential others, particularly those in positions of authority. Supervisors who model workaholism establish norms that employees may feel pressure to adopt by arriving early, leaving late, and responding to communications at all hours. This normalization of overwork may gradually erode safety-conscious routines in favor of task quantity over task quality.</w:t>
      </w:r>
    </w:p>
    <w:p w:rsidR="00000000" w:rsidDel="00000000" w:rsidP="00000000" w:rsidRDefault="00000000" w:rsidRPr="00000000" w14:paraId="00000024">
      <w:pPr>
        <w:spacing w:after="0" w:before="0" w:line="480" w:lineRule="auto"/>
        <w:ind w:lef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After-Hours Work Contact as a Mechanism. </w:t>
      </w:r>
      <w:r w:rsidDel="00000000" w:rsidR="00000000" w:rsidRPr="00000000">
        <w:rPr>
          <w:rFonts w:ascii="Times New Roman" w:cs="Times New Roman" w:eastAsia="Times New Roman" w:hAnsi="Times New Roman"/>
          <w:sz w:val="24"/>
          <w:szCs w:val="24"/>
          <w:rtl w:val="0"/>
        </w:rPr>
        <w:t xml:space="preserve">A behavioral manifestation of leader workaholism is the tendency to initiate after-hours work contact with subordinates (Derks et al., 2015; Kim &amp; Chon, 2022). Research consistently demonstrates that being contacted about work outside of regular working hours disrupts psychological recovery, elevates emotional exhaustion, and reduces well-being (Kim &amp; Chon, 2022). In the present study, after-hours work contact is examined as a key behavioral mechanism through which workaholic leaders may deplete employee resources and, ultimately, increase emotional exhaustion.</w:t>
      </w:r>
    </w:p>
    <w:p w:rsidR="00000000" w:rsidDel="00000000" w:rsidP="00000000" w:rsidRDefault="00000000" w:rsidRPr="00000000" w14:paraId="00000025">
      <w:pPr>
        <w:pStyle w:val="Heading1"/>
        <w:keepNext w:val="0"/>
        <w:keepLines w:val="0"/>
        <w:spacing w:after="0" w:before="0" w:line="480" w:lineRule="auto"/>
        <w:ind w:left="60" w:firstLine="20"/>
        <w:jc w:val="both"/>
        <w:rPr>
          <w:rFonts w:ascii="Times New Roman" w:cs="Times New Roman" w:eastAsia="Times New Roman" w:hAnsi="Times New Roman"/>
          <w:b w:val="1"/>
          <w:bCs w:val="1"/>
          <w:sz w:val="24"/>
          <w:szCs w:val="24"/>
        </w:rPr>
      </w:pPr>
      <w:bookmarkStart w:colFirst="0" w:colLast="0" w:name="_o8bxv5uylu1t" w:id="5"/>
      <w:bookmarkEnd w:id="5"/>
      <w:r w:rsidDel="00000000" w:rsidR="00000000" w:rsidRPr="00000000">
        <w:rPr>
          <w:rFonts w:ascii="Times New Roman" w:cs="Times New Roman" w:eastAsia="Times New Roman" w:hAnsi="Times New Roman"/>
          <w:b w:val="1"/>
          <w:bCs w:val="1"/>
          <w:sz w:val="24"/>
          <w:szCs w:val="24"/>
          <w:rtl w:val="0"/>
        </w:rPr>
        <w:t xml:space="preserve">Hypotheses</w:t>
      </w:r>
    </w:p>
    <w:p w:rsidR="00000000" w:rsidDel="00000000" w:rsidP="00000000" w:rsidRDefault="00000000" w:rsidRPr="00000000" w14:paraId="00000026">
      <w:pPr>
        <w:spacing w:after="0" w:before="0" w:line="480" w:lineRule="auto"/>
        <w:ind w:left="60" w:right="64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theoretical framework above, the following hypotheses were proposed: </w:t>
      </w:r>
      <w:r w:rsidDel="00000000" w:rsidR="00000000" w:rsidRPr="00000000">
        <w:rPr>
          <w:rFonts w:ascii="Times New Roman" w:cs="Times New Roman" w:eastAsia="Times New Roman" w:hAnsi="Times New Roman"/>
          <w:b w:val="1"/>
          <w:bCs w:val="1"/>
          <w:sz w:val="24"/>
          <w:szCs w:val="24"/>
          <w:rtl w:val="0"/>
        </w:rPr>
        <w:t xml:space="preserve">Hypothesis 1 (H1):</w:t>
      </w:r>
      <w:r w:rsidDel="00000000" w:rsidR="00000000" w:rsidRPr="00000000">
        <w:rPr>
          <w:rFonts w:ascii="Times New Roman" w:cs="Times New Roman" w:eastAsia="Times New Roman" w:hAnsi="Times New Roman"/>
          <w:sz w:val="24"/>
          <w:szCs w:val="24"/>
          <w:rtl w:val="0"/>
        </w:rPr>
        <w:t xml:space="preserve"> Leader workaholism will be negatively related to employee compliance with food safety standards.</w:t>
      </w:r>
    </w:p>
    <w:p w:rsidR="00000000" w:rsidDel="00000000" w:rsidP="00000000" w:rsidRDefault="00000000" w:rsidRPr="00000000" w14:paraId="00000027">
      <w:pPr>
        <w:spacing w:after="0" w:before="0" w:line="480" w:lineRule="auto"/>
        <w:ind w:lef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Hypothesis 2 (H2):</w:t>
      </w:r>
      <w:r w:rsidDel="00000000" w:rsidR="00000000" w:rsidRPr="00000000">
        <w:rPr>
          <w:rFonts w:ascii="Times New Roman" w:cs="Times New Roman" w:eastAsia="Times New Roman" w:hAnsi="Times New Roman"/>
          <w:sz w:val="24"/>
          <w:szCs w:val="24"/>
          <w:rtl w:val="0"/>
        </w:rPr>
        <w:t xml:space="preserve"> Leader workaholism will be positively related to employee turnover intention. </w:t>
      </w:r>
    </w:p>
    <w:p w:rsidR="00000000" w:rsidDel="00000000" w:rsidP="00000000" w:rsidRDefault="00000000" w:rsidRPr="00000000" w14:paraId="00000028">
      <w:pPr>
        <w:spacing w:after="0" w:before="0" w:line="480" w:lineRule="auto"/>
        <w:ind w:lef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Hypothesis 3 (H3):</w:t>
      </w:r>
      <w:r w:rsidDel="00000000" w:rsidR="00000000" w:rsidRPr="00000000">
        <w:rPr>
          <w:rFonts w:ascii="Times New Roman" w:cs="Times New Roman" w:eastAsia="Times New Roman" w:hAnsi="Times New Roman"/>
          <w:sz w:val="24"/>
          <w:szCs w:val="24"/>
          <w:rtl w:val="0"/>
        </w:rPr>
        <w:t xml:space="preserve"> After-hours work contact will be positively related to employee emotional exhaustion.</w:t>
      </w:r>
    </w:p>
    <w:p w:rsidR="00000000" w:rsidDel="00000000" w:rsidP="00000000" w:rsidRDefault="00000000" w:rsidRPr="00000000" w14:paraId="00000029">
      <w:pPr>
        <w:spacing w:after="0" w:before="0" w:line="480" w:lineRule="auto"/>
        <w:ind w:lef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Hypothesis 4 (H4):</w:t>
      </w:r>
      <w:r w:rsidDel="00000000" w:rsidR="00000000" w:rsidRPr="00000000">
        <w:rPr>
          <w:rFonts w:ascii="Times New Roman" w:cs="Times New Roman" w:eastAsia="Times New Roman" w:hAnsi="Times New Roman"/>
          <w:sz w:val="24"/>
          <w:szCs w:val="24"/>
          <w:rtl w:val="0"/>
        </w:rPr>
        <w:t xml:space="preserve"> Emotional exhaustion will mediate the positive relationship between leader workaholism and turnover intention.</w:t>
      </w:r>
    </w:p>
    <w:p w:rsidR="00000000" w:rsidDel="00000000" w:rsidP="00000000" w:rsidRDefault="00000000" w:rsidRPr="00000000" w14:paraId="0000002A">
      <w:pPr>
        <w:spacing w:after="0" w:before="0" w:line="480" w:lineRule="auto"/>
        <w:ind w:lef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Hypothesis 5 (H5):</w:t>
      </w:r>
      <w:r w:rsidDel="00000000" w:rsidR="00000000" w:rsidRPr="00000000">
        <w:rPr>
          <w:rFonts w:ascii="Times New Roman" w:cs="Times New Roman" w:eastAsia="Times New Roman" w:hAnsi="Times New Roman"/>
          <w:sz w:val="24"/>
          <w:szCs w:val="24"/>
          <w:rtl w:val="0"/>
        </w:rPr>
        <w:t xml:space="preserve"> Job satisfaction will mediate the positive relationship between leader workaholism and turnover intention.</w:t>
      </w:r>
    </w:p>
    <w:p w:rsidR="00000000" w:rsidDel="00000000" w:rsidP="00000000" w:rsidRDefault="00000000" w:rsidRPr="00000000" w14:paraId="0000002B">
      <w:pPr>
        <w:pStyle w:val="Heading1"/>
        <w:keepNext w:val="0"/>
        <w:keepLines w:val="0"/>
        <w:spacing w:after="0" w:before="0" w:line="480" w:lineRule="auto"/>
        <w:ind w:left="60" w:firstLine="20"/>
        <w:jc w:val="center"/>
        <w:rPr>
          <w:rFonts w:ascii="Times New Roman" w:cs="Times New Roman" w:eastAsia="Times New Roman" w:hAnsi="Times New Roman"/>
          <w:b w:val="1"/>
          <w:bCs w:val="1"/>
          <w:sz w:val="24"/>
          <w:szCs w:val="24"/>
        </w:rPr>
      </w:pPr>
      <w:bookmarkStart w:colFirst="0" w:colLast="0" w:name="_qre5j5nj54hn" w:id="6"/>
      <w:bookmarkEnd w:id="6"/>
      <w:r w:rsidDel="00000000" w:rsidR="00000000" w:rsidRPr="00000000">
        <w:rPr>
          <w:rFonts w:ascii="Times New Roman" w:cs="Times New Roman" w:eastAsia="Times New Roman" w:hAnsi="Times New Roman"/>
          <w:b w:val="1"/>
          <w:bCs w:val="1"/>
          <w:sz w:val="24"/>
          <w:szCs w:val="24"/>
          <w:rtl w:val="0"/>
        </w:rPr>
        <w:t xml:space="preserve">Method</w:t>
      </w:r>
    </w:p>
    <w:p w:rsidR="00000000" w:rsidDel="00000000" w:rsidP="00000000" w:rsidRDefault="00000000" w:rsidRPr="00000000" w14:paraId="0000002C">
      <w:pPr>
        <w:spacing w:after="0" w:before="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Participants</w:t>
      </w:r>
    </w:p>
    <w:p w:rsidR="00000000" w:rsidDel="00000000" w:rsidP="00000000" w:rsidRDefault="00000000" w:rsidRPr="00000000" w14:paraId="0000002D">
      <w:pPr>
        <w:spacing w:after="0" w:before="0" w:line="480" w:lineRule="auto"/>
        <w:ind w:left="60" w:right="12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were 203 employees recruited from the agriculture and food processing industry in Kern County, California. Eligibility criteria required that participants be at least 18 years old and currently employed in the agriculture or food processing sector. The sample was 58.6% male and 36.9% female, with an average age of 42.45 years (SD = 12.75). Regarding job type, 34.5% were field workers, 31.5% worked in packing houses, 22.2% in processing facilities, and 11.8% in office or administrative roles. The majority worked in agriculture (54.7%), followed by food processing (30.5%), and both sectors (14.8%). Most participants worked day shifts (61.1%), followed by night shifts (22.2%) and rotating shifts (14.8%). In terms of education, 33.0% held a high school diploma or GED, 27.1% had less than a high school education, 19.7% had some college, 11.3% held an associate degree, and 8.9% held a bachelor's degree or higher. Average organizational tenure was 11.51 years (SD = 9.80).</w:t>
      </w:r>
    </w:p>
    <w:p w:rsidR="00000000" w:rsidDel="00000000" w:rsidP="00000000" w:rsidRDefault="00000000" w:rsidRPr="00000000" w14:paraId="0000002E">
      <w:pPr>
        <w:pStyle w:val="Heading1"/>
        <w:keepNext w:val="0"/>
        <w:keepLines w:val="0"/>
        <w:spacing w:after="0" w:before="0" w:line="480" w:lineRule="auto"/>
        <w:ind w:left="60" w:firstLine="20"/>
        <w:jc w:val="center"/>
        <w:rPr>
          <w:rFonts w:ascii="Times New Roman" w:cs="Times New Roman" w:eastAsia="Times New Roman" w:hAnsi="Times New Roman"/>
          <w:b w:val="1"/>
          <w:bCs w:val="1"/>
          <w:sz w:val="24"/>
          <w:szCs w:val="24"/>
        </w:rPr>
      </w:pPr>
      <w:bookmarkStart w:colFirst="0" w:colLast="0" w:name="_i6ggwkxlm90" w:id="7"/>
      <w:bookmarkEnd w:id="7"/>
      <w:r w:rsidDel="00000000" w:rsidR="00000000" w:rsidRPr="00000000">
        <w:rPr>
          <w:rFonts w:ascii="Times New Roman" w:cs="Times New Roman" w:eastAsia="Times New Roman" w:hAnsi="Times New Roman"/>
          <w:b w:val="1"/>
          <w:bCs w:val="1"/>
          <w:sz w:val="24"/>
          <w:szCs w:val="24"/>
          <w:rtl w:val="0"/>
        </w:rPr>
        <w:t xml:space="preserve">Procedure</w:t>
      </w:r>
    </w:p>
    <w:p w:rsidR="00000000" w:rsidDel="00000000" w:rsidP="00000000" w:rsidRDefault="00000000" w:rsidRPr="00000000" w14:paraId="0000002F">
      <w:pPr>
        <w:spacing w:after="0" w:before="0" w:line="480" w:lineRule="auto"/>
        <w:ind w:left="60" w:right="10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were collected via an online survey. Participants were recruited through LinkedIn and snowball sampling. After providing informed consent, participants completed measures assessing their perceptions of their supervisor's workaholism, food safety compliance behaviors, turnover intentions, after-hours work contact, emotional exhaustion, and job satisfaction. All procedures were approved by the university's Institutional Review Board (Protocol #27-12).</w:t>
      </w:r>
    </w:p>
    <w:p w:rsidR="00000000" w:rsidDel="00000000" w:rsidP="00000000" w:rsidRDefault="00000000" w:rsidRPr="00000000" w14:paraId="00000030">
      <w:pPr>
        <w:pStyle w:val="Heading1"/>
        <w:keepNext w:val="0"/>
        <w:keepLines w:val="0"/>
        <w:spacing w:after="0" w:before="0" w:line="480" w:lineRule="auto"/>
        <w:ind w:left="60" w:firstLine="20"/>
        <w:jc w:val="center"/>
        <w:rPr>
          <w:rFonts w:ascii="Times New Roman" w:cs="Times New Roman" w:eastAsia="Times New Roman" w:hAnsi="Times New Roman"/>
          <w:b w:val="1"/>
          <w:bCs w:val="1"/>
          <w:sz w:val="24"/>
          <w:szCs w:val="24"/>
        </w:rPr>
      </w:pPr>
      <w:bookmarkStart w:colFirst="0" w:colLast="0" w:name="_dxvoxevgvap8" w:id="8"/>
      <w:bookmarkEnd w:id="8"/>
      <w:r w:rsidDel="00000000" w:rsidR="00000000" w:rsidRPr="00000000">
        <w:rPr>
          <w:rFonts w:ascii="Times New Roman" w:cs="Times New Roman" w:eastAsia="Times New Roman" w:hAnsi="Times New Roman"/>
          <w:b w:val="1"/>
          <w:bCs w:val="1"/>
          <w:sz w:val="24"/>
          <w:szCs w:val="24"/>
          <w:rtl w:val="0"/>
        </w:rPr>
        <w:t xml:space="preserve">Measures</w:t>
      </w:r>
    </w:p>
    <w:p w:rsidR="00000000" w:rsidDel="00000000" w:rsidP="00000000" w:rsidRDefault="00000000" w:rsidRPr="00000000" w14:paraId="00000031">
      <w:pPr>
        <w:spacing w:after="0" w:before="0" w:line="480" w:lineRule="auto"/>
        <w:ind w:lef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Unless otherwise noted, all items were rated on a 5-point Likert-type scale ranging from 1 (</w:t>
      </w:r>
      <w:r w:rsidDel="00000000" w:rsidR="00000000" w:rsidRPr="00000000">
        <w:rPr>
          <w:rFonts w:ascii="Times New Roman" w:cs="Times New Roman" w:eastAsia="Times New Roman" w:hAnsi="Times New Roman"/>
          <w:i w:val="1"/>
          <w:iCs w:val="1"/>
          <w:sz w:val="24"/>
          <w:szCs w:val="24"/>
          <w:rtl w:val="0"/>
        </w:rPr>
        <w:t xml:space="preserve">strongly disagree</w:t>
      </w:r>
      <w:r w:rsidDel="00000000" w:rsidR="00000000" w:rsidRPr="00000000">
        <w:rPr>
          <w:rFonts w:ascii="Times New Roman" w:cs="Times New Roman" w:eastAsia="Times New Roman" w:hAnsi="Times New Roman"/>
          <w:sz w:val="24"/>
          <w:szCs w:val="24"/>
          <w:rtl w:val="0"/>
        </w:rPr>
        <w:t xml:space="preserve">) to 5 (</w:t>
      </w:r>
      <w:r w:rsidDel="00000000" w:rsidR="00000000" w:rsidRPr="00000000">
        <w:rPr>
          <w:rFonts w:ascii="Times New Roman" w:cs="Times New Roman" w:eastAsia="Times New Roman" w:hAnsi="Times New Roman"/>
          <w:i w:val="1"/>
          <w:iCs w:val="1"/>
          <w:sz w:val="24"/>
          <w:szCs w:val="24"/>
          <w:rtl w:val="0"/>
        </w:rPr>
        <w:t xml:space="preserve">strongly agree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2">
      <w:pPr>
        <w:spacing w:after="0" w:before="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Leader workaholism. </w:t>
      </w:r>
      <w:r w:rsidDel="00000000" w:rsidR="00000000" w:rsidRPr="00000000">
        <w:rPr>
          <w:rFonts w:ascii="Times New Roman" w:cs="Times New Roman" w:eastAsia="Times New Roman" w:hAnsi="Times New Roman"/>
          <w:sz w:val="24"/>
          <w:szCs w:val="24"/>
          <w:rtl w:val="0"/>
        </w:rPr>
        <w:t xml:space="preserve">Leader workaholism was measured using a 10-item adapted version of the Dutch Work Addiction Scale (DUWAS; Schaufeli et al., 2009). Participants rated their direct supervisor's work behaviors. The scale includes two subscales: Working Excessively (5 items) and Working Compulsively (5 items). A sample item is "My supervisor stays busy and keeps many irons in the fire" (α = .90).</w:t>
      </w:r>
    </w:p>
    <w:p w:rsidR="00000000" w:rsidDel="00000000" w:rsidP="00000000" w:rsidRDefault="00000000" w:rsidRPr="00000000" w14:paraId="00000033">
      <w:pPr>
        <w:spacing w:after="0" w:before="0" w:line="480" w:lineRule="auto"/>
        <w:ind w:left="6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Food safety compliance. </w:t>
      </w:r>
      <w:r w:rsidDel="00000000" w:rsidR="00000000" w:rsidRPr="00000000">
        <w:rPr>
          <w:rFonts w:ascii="Times New Roman" w:cs="Times New Roman" w:eastAsia="Times New Roman" w:hAnsi="Times New Roman"/>
          <w:sz w:val="24"/>
          <w:szCs w:val="24"/>
          <w:rtl w:val="0"/>
        </w:rPr>
        <w:t xml:space="preserve">Food safety compliance was measured using six items adapted from the Safety Compliance Scale (Neal &amp; Griffin, 2006), modified for the food safety context. Items were rated on a 5-point scale ranging from 1 (</w:t>
      </w:r>
      <w:r w:rsidDel="00000000" w:rsidR="00000000" w:rsidRPr="00000000">
        <w:rPr>
          <w:rFonts w:ascii="Times New Roman" w:cs="Times New Roman" w:eastAsia="Times New Roman" w:hAnsi="Times New Roman"/>
          <w:i w:val="1"/>
          <w:iCs w:val="1"/>
          <w:sz w:val="24"/>
          <w:szCs w:val="24"/>
          <w:rtl w:val="0"/>
        </w:rPr>
        <w:t xml:space="preserve">never</w:t>
      </w:r>
      <w:r w:rsidDel="00000000" w:rsidR="00000000" w:rsidRPr="00000000">
        <w:rPr>
          <w:rFonts w:ascii="Times New Roman" w:cs="Times New Roman" w:eastAsia="Times New Roman" w:hAnsi="Times New Roman"/>
          <w:sz w:val="24"/>
          <w:szCs w:val="24"/>
          <w:rtl w:val="0"/>
        </w:rPr>
        <w:t xml:space="preserve">) to 5 (</w:t>
      </w:r>
      <w:r w:rsidDel="00000000" w:rsidR="00000000" w:rsidRPr="00000000">
        <w:rPr>
          <w:rFonts w:ascii="Times New Roman" w:cs="Times New Roman" w:eastAsia="Times New Roman" w:hAnsi="Times New Roman"/>
          <w:i w:val="1"/>
          <w:iCs w:val="1"/>
          <w:sz w:val="24"/>
          <w:szCs w:val="24"/>
          <w:rtl w:val="0"/>
        </w:rPr>
        <w:t xml:space="preserve">always</w:t>
      </w:r>
      <w:r w:rsidDel="00000000" w:rsidR="00000000" w:rsidRPr="00000000">
        <w:rPr>
          <w:rFonts w:ascii="Times New Roman" w:cs="Times New Roman" w:eastAsia="Times New Roman" w:hAnsi="Times New Roman"/>
          <w:sz w:val="24"/>
          <w:szCs w:val="24"/>
          <w:rtl w:val="0"/>
        </w:rPr>
        <w:t xml:space="preserve">). A sample item is "I follow all food safety procedures regardless of the situation" (α = .80).</w:t>
      </w:r>
    </w:p>
    <w:p w:rsidR="00000000" w:rsidDel="00000000" w:rsidP="00000000" w:rsidRDefault="00000000" w:rsidRPr="00000000" w14:paraId="00000034">
      <w:pPr>
        <w:spacing w:after="0" w:before="0" w:line="480" w:lineRule="auto"/>
        <w:ind w:lef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Turnover intention. </w:t>
      </w:r>
      <w:r w:rsidDel="00000000" w:rsidR="00000000" w:rsidRPr="00000000">
        <w:rPr>
          <w:rFonts w:ascii="Times New Roman" w:cs="Times New Roman" w:eastAsia="Times New Roman" w:hAnsi="Times New Roman"/>
          <w:sz w:val="24"/>
          <w:szCs w:val="24"/>
          <w:rtl w:val="0"/>
        </w:rPr>
        <w:t xml:space="preserve">Turnover intention was measured using three items from Colarelli (1984). A sample item is "I frequently think of quitting this job" (α = .71).</w:t>
      </w:r>
    </w:p>
    <w:p w:rsidR="00000000" w:rsidDel="00000000" w:rsidP="00000000" w:rsidRDefault="00000000" w:rsidRPr="00000000" w14:paraId="00000035">
      <w:pPr>
        <w:spacing w:after="0" w:before="0" w:line="480" w:lineRule="auto"/>
        <w:ind w:lef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After-hours work contact. </w:t>
      </w:r>
      <w:r w:rsidDel="00000000" w:rsidR="00000000" w:rsidRPr="00000000">
        <w:rPr>
          <w:rFonts w:ascii="Times New Roman" w:cs="Times New Roman" w:eastAsia="Times New Roman" w:hAnsi="Times New Roman"/>
          <w:sz w:val="24"/>
          <w:szCs w:val="24"/>
          <w:rtl w:val="0"/>
        </w:rPr>
        <w:t xml:space="preserve">After-hours work contact was assessed using five items adapted from Derks et al. (2015). Items were rated on a 5-point scale ranging from 1 (</w:t>
      </w:r>
      <w:r w:rsidDel="00000000" w:rsidR="00000000" w:rsidRPr="00000000">
        <w:rPr>
          <w:rFonts w:ascii="Times New Roman" w:cs="Times New Roman" w:eastAsia="Times New Roman" w:hAnsi="Times New Roman"/>
          <w:i w:val="1"/>
          <w:iCs w:val="1"/>
          <w:sz w:val="24"/>
          <w:szCs w:val="24"/>
          <w:rtl w:val="0"/>
        </w:rPr>
        <w:t xml:space="preserve">never</w:t>
      </w:r>
      <w:r w:rsidDel="00000000" w:rsidR="00000000" w:rsidRPr="00000000">
        <w:rPr>
          <w:rFonts w:ascii="Times New Roman" w:cs="Times New Roman" w:eastAsia="Times New Roman" w:hAnsi="Times New Roman"/>
          <w:sz w:val="24"/>
          <w:szCs w:val="24"/>
          <w:rtl w:val="0"/>
        </w:rPr>
        <w:t xml:space="preserve">) to 5 (</w:t>
      </w:r>
      <w:r w:rsidDel="00000000" w:rsidR="00000000" w:rsidRPr="00000000">
        <w:rPr>
          <w:rFonts w:ascii="Times New Roman" w:cs="Times New Roman" w:eastAsia="Times New Roman" w:hAnsi="Times New Roman"/>
          <w:i w:val="1"/>
          <w:iCs w:val="1"/>
          <w:sz w:val="24"/>
          <w:szCs w:val="24"/>
          <w:rtl w:val="0"/>
        </w:rPr>
        <w:t xml:space="preserve">very often</w:t>
      </w:r>
      <w:r w:rsidDel="00000000" w:rsidR="00000000" w:rsidRPr="00000000">
        <w:rPr>
          <w:rFonts w:ascii="Times New Roman" w:cs="Times New Roman" w:eastAsia="Times New Roman" w:hAnsi="Times New Roman"/>
          <w:sz w:val="24"/>
          <w:szCs w:val="24"/>
          <w:rtl w:val="0"/>
        </w:rPr>
        <w:t xml:space="preserve">). A sample item is "My supervisor contacts me about work-related matters outside of regular working hours" (α = .87).</w:t>
      </w:r>
    </w:p>
    <w:p w:rsidR="00000000" w:rsidDel="00000000" w:rsidP="00000000" w:rsidRDefault="00000000" w:rsidRPr="00000000" w14:paraId="00000036">
      <w:pPr>
        <w:spacing w:after="0" w:before="0" w:line="480" w:lineRule="auto"/>
        <w:ind w:left="6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Emotional exhaustion. </w:t>
      </w:r>
      <w:r w:rsidDel="00000000" w:rsidR="00000000" w:rsidRPr="00000000">
        <w:rPr>
          <w:rFonts w:ascii="Times New Roman" w:cs="Times New Roman" w:eastAsia="Times New Roman" w:hAnsi="Times New Roman"/>
          <w:sz w:val="24"/>
          <w:szCs w:val="24"/>
          <w:rtl w:val="0"/>
        </w:rPr>
        <w:t xml:space="preserve">Emotional exhaustion was measured using five items from the emotional exhaustion subscale of the Maslach Burnout Inventory (Maslach &amp; Jackson, 1981). Items were rated on a 5-point scale ranging from 1 (</w:t>
      </w:r>
      <w:r w:rsidDel="00000000" w:rsidR="00000000" w:rsidRPr="00000000">
        <w:rPr>
          <w:rFonts w:ascii="Times New Roman" w:cs="Times New Roman" w:eastAsia="Times New Roman" w:hAnsi="Times New Roman"/>
          <w:i w:val="1"/>
          <w:iCs w:val="1"/>
          <w:sz w:val="24"/>
          <w:szCs w:val="24"/>
          <w:rtl w:val="0"/>
        </w:rPr>
        <w:t xml:space="preserve">never</w:t>
      </w:r>
      <w:r w:rsidDel="00000000" w:rsidR="00000000" w:rsidRPr="00000000">
        <w:rPr>
          <w:rFonts w:ascii="Times New Roman" w:cs="Times New Roman" w:eastAsia="Times New Roman" w:hAnsi="Times New Roman"/>
          <w:sz w:val="24"/>
          <w:szCs w:val="24"/>
          <w:rtl w:val="0"/>
        </w:rPr>
        <w:t xml:space="preserve">) to 5 (</w:t>
      </w:r>
      <w:r w:rsidDel="00000000" w:rsidR="00000000" w:rsidRPr="00000000">
        <w:rPr>
          <w:rFonts w:ascii="Times New Roman" w:cs="Times New Roman" w:eastAsia="Times New Roman" w:hAnsi="Times New Roman"/>
          <w:i w:val="1"/>
          <w:iCs w:val="1"/>
          <w:sz w:val="24"/>
          <w:szCs w:val="24"/>
          <w:rtl w:val="0"/>
        </w:rPr>
        <w:t xml:space="preserve">always</w:t>
      </w:r>
      <w:r w:rsidDel="00000000" w:rsidR="00000000" w:rsidRPr="00000000">
        <w:rPr>
          <w:rFonts w:ascii="Times New Roman" w:cs="Times New Roman" w:eastAsia="Times New Roman" w:hAnsi="Times New Roman"/>
          <w:sz w:val="24"/>
          <w:szCs w:val="24"/>
          <w:rtl w:val="0"/>
        </w:rPr>
        <w:t xml:space="preserve">). A sample item is "I feel emotionally drained from my work" (α = .86).</w:t>
      </w:r>
    </w:p>
    <w:p w:rsidR="00000000" w:rsidDel="00000000" w:rsidP="00000000" w:rsidRDefault="00000000" w:rsidRPr="00000000" w14:paraId="00000037">
      <w:pPr>
        <w:spacing w:after="0" w:before="0" w:line="480" w:lineRule="auto"/>
        <w:ind w:left="60" w:righ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Job satisfaction. </w:t>
      </w:r>
      <w:r w:rsidDel="00000000" w:rsidR="00000000" w:rsidRPr="00000000">
        <w:rPr>
          <w:rFonts w:ascii="Times New Roman" w:cs="Times New Roman" w:eastAsia="Times New Roman" w:hAnsi="Times New Roman"/>
          <w:sz w:val="24"/>
          <w:szCs w:val="24"/>
          <w:rtl w:val="0"/>
        </w:rPr>
        <w:t xml:space="preserve">Job satisfaction was measured using three items from the Michigan Organizational Assessment Questionnaire (Cammann et al., 1983). A sample item is "All in all, I am satisfied with my job" (α = .73).</w:t>
      </w:r>
    </w:p>
    <w:p w:rsidR="00000000" w:rsidDel="00000000" w:rsidP="00000000" w:rsidRDefault="00000000" w:rsidRPr="00000000" w14:paraId="00000038">
      <w:pPr>
        <w:spacing w:after="0" w:before="0" w:line="480" w:lineRule="auto"/>
        <w:ind w:lef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Control variables. </w:t>
      </w:r>
      <w:r w:rsidDel="00000000" w:rsidR="00000000" w:rsidRPr="00000000">
        <w:rPr>
          <w:rFonts w:ascii="Times New Roman" w:cs="Times New Roman" w:eastAsia="Times New Roman" w:hAnsi="Times New Roman"/>
          <w:sz w:val="24"/>
          <w:szCs w:val="24"/>
          <w:rtl w:val="0"/>
        </w:rPr>
        <w:t xml:space="preserve">Age and organizational tenure were included as control variables in all analyses, as both may influence employees' perceptions of their supervisors and their own work attitudes and behaviors (Ng &amp; Feldman, 2010).</w:t>
      </w:r>
    </w:p>
    <w:p w:rsidR="00000000" w:rsidDel="00000000" w:rsidP="00000000" w:rsidRDefault="00000000" w:rsidRPr="00000000" w14:paraId="00000039">
      <w:pPr>
        <w:pStyle w:val="Heading1"/>
        <w:keepNext w:val="0"/>
        <w:keepLines w:val="0"/>
        <w:spacing w:after="0" w:before="0" w:line="480" w:lineRule="auto"/>
        <w:ind w:left="60" w:firstLine="20"/>
        <w:jc w:val="center"/>
        <w:rPr>
          <w:rFonts w:ascii="Times New Roman" w:cs="Times New Roman" w:eastAsia="Times New Roman" w:hAnsi="Times New Roman"/>
          <w:b w:val="1"/>
          <w:bCs w:val="1"/>
          <w:sz w:val="24"/>
          <w:szCs w:val="24"/>
        </w:rPr>
      </w:pPr>
      <w:bookmarkStart w:colFirst="0" w:colLast="0" w:name="_jg1u8weosejv" w:id="9"/>
      <w:bookmarkEnd w:id="9"/>
      <w:r w:rsidDel="00000000" w:rsidR="00000000" w:rsidRPr="00000000">
        <w:rPr>
          <w:rFonts w:ascii="Times New Roman" w:cs="Times New Roman" w:eastAsia="Times New Roman" w:hAnsi="Times New Roman"/>
          <w:b w:val="1"/>
          <w:bCs w:val="1"/>
          <w:sz w:val="24"/>
          <w:szCs w:val="24"/>
          <w:rtl w:val="0"/>
        </w:rPr>
        <w:t xml:space="preserve">Analytic Strategy</w:t>
      </w:r>
    </w:p>
    <w:p w:rsidR="00000000" w:rsidDel="00000000" w:rsidP="00000000" w:rsidRDefault="00000000" w:rsidRPr="00000000" w14:paraId="0000003A">
      <w:pPr>
        <w:spacing w:after="0" w:before="0" w:line="480" w:lineRule="auto"/>
        <w:ind w:left="60" w:right="20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Analyses were conducted using Python 3.13 with the pandas, NumPy, SciPy, and statsmodels libraries. First, descriptive statistics and bivariate correlations were computed for all study variables. The reliability of multi-item scales was assessed using Cronbach's alpha in the second step. Third, direct-effect hypotheses (H1–H3) were tested using hierarchical ordinary least squares (OLS) regression, with control variables (age, organizational tenure) entered in Step 1 and the focal predictor entered in Step 2. Fourth, mediation hypotheses (H4–H5) were tested using a bootstrapping approach with 5,000 resamples, consistent with recommendations by Hayes (2022) for the PROCESS Model 4 framework. Mediation was considered significant when the 95% bias-corrected bootstrap confidence interval for the indirect effect excluded zero.</w:t>
      </w:r>
    </w:p>
    <w:p w:rsidR="00000000" w:rsidDel="00000000" w:rsidP="00000000" w:rsidRDefault="00000000" w:rsidRPr="00000000" w14:paraId="0000003B">
      <w:pPr>
        <w:pStyle w:val="Heading1"/>
        <w:keepNext w:val="0"/>
        <w:keepLines w:val="0"/>
        <w:spacing w:after="0" w:before="0" w:line="480" w:lineRule="auto"/>
        <w:ind w:left="60" w:firstLine="20"/>
        <w:jc w:val="center"/>
        <w:rPr>
          <w:rFonts w:ascii="Times New Roman" w:cs="Times New Roman" w:eastAsia="Times New Roman" w:hAnsi="Times New Roman"/>
          <w:b w:val="1"/>
          <w:bCs w:val="1"/>
          <w:sz w:val="24"/>
          <w:szCs w:val="24"/>
        </w:rPr>
      </w:pPr>
      <w:bookmarkStart w:colFirst="0" w:colLast="0" w:name="_9b0syzwmhdft" w:id="10"/>
      <w:bookmarkEnd w:id="10"/>
      <w:r w:rsidDel="00000000" w:rsidR="00000000" w:rsidRPr="00000000">
        <w:rPr>
          <w:rFonts w:ascii="Times New Roman" w:cs="Times New Roman" w:eastAsia="Times New Roman" w:hAnsi="Times New Roman"/>
          <w:b w:val="1"/>
          <w:bCs w:val="1"/>
          <w:sz w:val="24"/>
          <w:szCs w:val="24"/>
          <w:rtl w:val="0"/>
        </w:rPr>
        <w:t xml:space="preserve">Results</w:t>
      </w:r>
    </w:p>
    <w:p w:rsidR="00000000" w:rsidDel="00000000" w:rsidP="00000000" w:rsidRDefault="00000000" w:rsidRPr="00000000" w14:paraId="0000003C">
      <w:pPr>
        <w:spacing w:after="0" w:before="0" w:line="48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Preliminary Analyses</w:t>
      </w:r>
    </w:p>
    <w:p w:rsidR="00000000" w:rsidDel="00000000" w:rsidP="00000000" w:rsidRDefault="00000000" w:rsidRPr="00000000" w14:paraId="0000003D">
      <w:pPr>
        <w:spacing w:after="0" w:before="0" w:line="480" w:lineRule="auto"/>
        <w:ind w:left="8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Means, standard deviations, reliabilities, and intercorrelations among study variables are presented in Table 1. All multi-item scales demonstrated acceptable internal consistency reliability (α &gt; .70; Nunnally, 1978). Consistent with theoretical expectations, leader workaholism was negatively correlated with food safety compliance (</w:t>
      </w:r>
      <w:r w:rsidDel="00000000" w:rsidR="00000000" w:rsidRPr="00000000">
        <w:rPr>
          <w:rFonts w:ascii="Times New Roman" w:cs="Times New Roman" w:eastAsia="Times New Roman" w:hAnsi="Times New Roman"/>
          <w:i w:val="1"/>
          <w:iCs w:val="1"/>
          <w:sz w:val="24"/>
          <w:szCs w:val="24"/>
          <w:rtl w:val="0"/>
        </w:rPr>
        <w:t xml:space="preserve">r </w:t>
      </w:r>
      <w:r w:rsidDel="00000000" w:rsidR="00000000" w:rsidRPr="00000000">
        <w:rPr>
          <w:rFonts w:ascii="Gungsuh" w:cs="Gungsuh" w:eastAsia="Gungsuh" w:hAnsi="Gungsuh"/>
          <w:sz w:val="24"/>
          <w:szCs w:val="24"/>
          <w:rtl w:val="0"/>
        </w:rPr>
        <w:t xml:space="preserve">= −.54,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.01) and job satisfaction (</w:t>
      </w:r>
      <w:r w:rsidDel="00000000" w:rsidR="00000000" w:rsidRPr="00000000">
        <w:rPr>
          <w:rFonts w:ascii="Times New Roman" w:cs="Times New Roman" w:eastAsia="Times New Roman" w:hAnsi="Times New Roman"/>
          <w:i w:val="1"/>
          <w:iCs w:val="1"/>
          <w:sz w:val="24"/>
          <w:szCs w:val="24"/>
          <w:rtl w:val="0"/>
        </w:rPr>
        <w:t xml:space="preserve">r </w:t>
      </w:r>
      <w:r w:rsidDel="00000000" w:rsidR="00000000" w:rsidRPr="00000000">
        <w:rPr>
          <w:rFonts w:ascii="Gungsuh" w:cs="Gungsuh" w:eastAsia="Gungsuh" w:hAnsi="Gungsuh"/>
          <w:sz w:val="24"/>
          <w:szCs w:val="24"/>
          <w:rtl w:val="0"/>
        </w:rPr>
        <w:t xml:space="preserve">= −.66,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.01), and positively correlated with turnover intention (</w:t>
      </w:r>
      <w:r w:rsidDel="00000000" w:rsidR="00000000" w:rsidRPr="00000000">
        <w:rPr>
          <w:rFonts w:ascii="Times New Roman" w:cs="Times New Roman" w:eastAsia="Times New Roman" w:hAnsi="Times New Roman"/>
          <w:i w:val="1"/>
          <w:iCs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 .65,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.01), after-hours work contact (</w:t>
      </w:r>
      <w:r w:rsidDel="00000000" w:rsidR="00000000" w:rsidRPr="00000000">
        <w:rPr>
          <w:rFonts w:ascii="Times New Roman" w:cs="Times New Roman" w:eastAsia="Times New Roman" w:hAnsi="Times New Roman"/>
          <w:i w:val="1"/>
          <w:iCs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 .75,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.01), and emotional exhaustion (</w:t>
      </w:r>
      <w:r w:rsidDel="00000000" w:rsidR="00000000" w:rsidRPr="00000000">
        <w:rPr>
          <w:rFonts w:ascii="Times New Roman" w:cs="Times New Roman" w:eastAsia="Times New Roman" w:hAnsi="Times New Roman"/>
          <w:i w:val="1"/>
          <w:iCs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 .72,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.01). After-hours work contact was also strongly and positively correlated with emotional exhaustion (</w:t>
      </w:r>
      <w:r w:rsidDel="00000000" w:rsidR="00000000" w:rsidRPr="00000000">
        <w:rPr>
          <w:rFonts w:ascii="Times New Roman" w:cs="Times New Roman" w:eastAsia="Times New Roman" w:hAnsi="Times New Roman"/>
          <w:i w:val="1"/>
          <w:iCs w:val="1"/>
          <w:sz w:val="24"/>
          <w:szCs w:val="24"/>
          <w:rtl w:val="0"/>
        </w:rPr>
        <w:t xml:space="preserve">r </w:t>
      </w:r>
      <w:r w:rsidDel="00000000" w:rsidR="00000000" w:rsidRPr="00000000">
        <w:rPr>
          <w:rFonts w:ascii="Times New Roman" w:cs="Times New Roman" w:eastAsia="Times New Roman" w:hAnsi="Times New Roman"/>
          <w:sz w:val="24"/>
          <w:szCs w:val="24"/>
          <w:rtl w:val="0"/>
        </w:rPr>
        <w:t xml:space="preserve">= .76,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.01).</w:t>
      </w:r>
    </w:p>
    <w:p w:rsidR="00000000" w:rsidDel="00000000" w:rsidP="00000000" w:rsidRDefault="00000000" w:rsidRPr="00000000" w14:paraId="0000003E">
      <w:pPr>
        <w:pStyle w:val="Heading1"/>
        <w:keepNext w:val="0"/>
        <w:keepLines w:val="0"/>
        <w:spacing w:after="0" w:before="0" w:line="480" w:lineRule="auto"/>
        <w:ind w:left="60" w:firstLine="20"/>
        <w:jc w:val="both"/>
        <w:rPr>
          <w:rFonts w:ascii="Times New Roman" w:cs="Times New Roman" w:eastAsia="Times New Roman" w:hAnsi="Times New Roman"/>
          <w:b w:val="1"/>
          <w:bCs w:val="1"/>
          <w:sz w:val="24"/>
          <w:szCs w:val="24"/>
        </w:rPr>
      </w:pPr>
      <w:bookmarkStart w:colFirst="0" w:colLast="0" w:name="_omoxyrppcs8f" w:id="11"/>
      <w:bookmarkEnd w:id="11"/>
      <w:r w:rsidDel="00000000" w:rsidR="00000000" w:rsidRPr="00000000">
        <w:rPr>
          <w:rFonts w:ascii="Times New Roman" w:cs="Times New Roman" w:eastAsia="Times New Roman" w:hAnsi="Times New Roman"/>
          <w:b w:val="1"/>
          <w:bCs w:val="1"/>
          <w:sz w:val="24"/>
          <w:szCs w:val="24"/>
          <w:rtl w:val="0"/>
        </w:rPr>
        <w:t xml:space="preserve">Hypothesis Tests</w:t>
      </w:r>
    </w:p>
    <w:p w:rsidR="00000000" w:rsidDel="00000000" w:rsidP="00000000" w:rsidRDefault="00000000" w:rsidRPr="00000000" w14:paraId="0000003F">
      <w:pPr>
        <w:spacing w:after="0" w:before="0" w:line="480" w:lineRule="auto"/>
        <w:ind w:left="60" w:right="10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of the hierarchical regression analyses are presented in Table 2. Hypothesis 1 predicted that leader workaholism would be negatively related to employee food safety compliance. After controlling for age and organizational tenure, leader workaholism was significantly and negatively related to food safety compliance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Gungsuh" w:cs="Gungsuh" w:eastAsia="Gungsuh" w:hAnsi="Gungsuh"/>
          <w:sz w:val="24"/>
          <w:szCs w:val="24"/>
          <w:rtl w:val="0"/>
        </w:rPr>
        <w:t xml:space="preserve">= −.42, </w:t>
      </w:r>
      <w:r w:rsidDel="00000000" w:rsidR="00000000" w:rsidRPr="00000000">
        <w:rPr>
          <w:rFonts w:ascii="Times New Roman" w:cs="Times New Roman" w:eastAsia="Times New Roman" w:hAnsi="Times New Roman"/>
          <w:i w:val="1"/>
          <w:iCs w:val="1"/>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 .05, </w:t>
      </w:r>
      <w:r w:rsidDel="00000000" w:rsidR="00000000" w:rsidRPr="00000000">
        <w:rPr>
          <w:rFonts w:ascii="Times New Roman" w:cs="Times New Roman" w:eastAsia="Times New Roman" w:hAnsi="Times New Roman"/>
          <w:i w:val="1"/>
          <w:iCs w:val="1"/>
          <w:sz w:val="24"/>
          <w:szCs w:val="24"/>
          <w:rtl w:val="0"/>
        </w:rPr>
        <w:t xml:space="preserve">t </w:t>
      </w:r>
      <w:r w:rsidDel="00000000" w:rsidR="00000000" w:rsidRPr="00000000">
        <w:rPr>
          <w:rFonts w:ascii="Gungsuh" w:cs="Gungsuh" w:eastAsia="Gungsuh" w:hAnsi="Gungsuh"/>
          <w:sz w:val="24"/>
          <w:szCs w:val="24"/>
          <w:rtl w:val="0"/>
        </w:rPr>
        <w:t xml:space="preserve">= −8.71,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Gungsuh" w:cs="Gungsuh" w:eastAsia="Gungsuh" w:hAnsi="Gungsuh"/>
          <w:sz w:val="24"/>
          <w:szCs w:val="24"/>
          <w:rtl w:val="0"/>
        </w:rPr>
        <w:t xml:space="preserve">&lt; .001, 95% CI [−.52, −.33]). The addition of leader workaholism to the model explained an additional 26.7% of variance in food safety compliance (Δ</w:t>
      </w:r>
      <w:r w:rsidDel="00000000" w:rsidR="00000000" w:rsidRPr="00000000">
        <w:rPr>
          <w:rFonts w:ascii="Times New Roman" w:cs="Times New Roman" w:eastAsia="Times New Roman" w:hAnsi="Times New Roman"/>
          <w:i w:val="1"/>
          <w:iCs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.267, </w:t>
      </w:r>
      <w:r w:rsidDel="00000000" w:rsidR="00000000" w:rsidRPr="00000000">
        <w:rPr>
          <w:rFonts w:ascii="Times New Roman" w:cs="Times New Roman" w:eastAsia="Times New Roman" w:hAnsi="Times New Roman"/>
          <w:i w:val="1"/>
          <w:iCs w:val="1"/>
          <w:sz w:val="24"/>
          <w:szCs w:val="24"/>
          <w:rtl w:val="0"/>
        </w:rPr>
        <w:t xml:space="preserve">F </w:t>
      </w:r>
      <w:r w:rsidDel="00000000" w:rsidR="00000000" w:rsidRPr="00000000">
        <w:rPr>
          <w:rFonts w:ascii="Times New Roman" w:cs="Times New Roman" w:eastAsia="Times New Roman" w:hAnsi="Times New Roman"/>
          <w:sz w:val="24"/>
          <w:szCs w:val="24"/>
          <w:rtl w:val="0"/>
        </w:rPr>
        <w:t xml:space="preserve">change = 75.90,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Hypothesis 1 was supported.</w:t>
      </w:r>
    </w:p>
    <w:p w:rsidR="00000000" w:rsidDel="00000000" w:rsidP="00000000" w:rsidRDefault="00000000" w:rsidRPr="00000000" w14:paraId="00000040">
      <w:pPr>
        <w:spacing w:after="0" w:before="0" w:line="480" w:lineRule="auto"/>
        <w:ind w:left="60" w:right="10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2 predicted that leader workaholism would be positively related to employee turnover intention. Controlling for covariates, leader workaholism was significantly and positively related to turnover intention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 .75, </w:t>
      </w:r>
      <w:r w:rsidDel="00000000" w:rsidR="00000000" w:rsidRPr="00000000">
        <w:rPr>
          <w:rFonts w:ascii="Times New Roman" w:cs="Times New Roman" w:eastAsia="Times New Roman" w:hAnsi="Times New Roman"/>
          <w:i w:val="1"/>
          <w:iCs w:val="1"/>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 .06, </w:t>
      </w:r>
      <w:r w:rsidDel="00000000" w:rsidR="00000000" w:rsidRPr="00000000">
        <w:rPr>
          <w:rFonts w:ascii="Times New Roman" w:cs="Times New Roman" w:eastAsia="Times New Roman" w:hAnsi="Times New Roman"/>
          <w:i w:val="1"/>
          <w:iCs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 11.83,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95% CI [.63, .88]). The addition of leader workaholism explained an additional 39.3% of variance in turnover intention (Δ</w:t>
      </w:r>
      <w:r w:rsidDel="00000000" w:rsidR="00000000" w:rsidRPr="00000000">
        <w:rPr>
          <w:rFonts w:ascii="Times New Roman" w:cs="Times New Roman" w:eastAsia="Times New Roman" w:hAnsi="Times New Roman"/>
          <w:i w:val="1"/>
          <w:iCs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.393, </w:t>
      </w:r>
      <w:r w:rsidDel="00000000" w:rsidR="00000000" w:rsidRPr="00000000">
        <w:rPr>
          <w:rFonts w:ascii="Times New Roman" w:cs="Times New Roman" w:eastAsia="Times New Roman" w:hAnsi="Times New Roman"/>
          <w:i w:val="1"/>
          <w:iCs w:val="1"/>
          <w:sz w:val="24"/>
          <w:szCs w:val="24"/>
          <w:rtl w:val="0"/>
        </w:rPr>
        <w:t xml:space="preserve">F </w:t>
      </w:r>
      <w:r w:rsidDel="00000000" w:rsidR="00000000" w:rsidRPr="00000000">
        <w:rPr>
          <w:rFonts w:ascii="Times New Roman" w:cs="Times New Roman" w:eastAsia="Times New Roman" w:hAnsi="Times New Roman"/>
          <w:sz w:val="24"/>
          <w:szCs w:val="24"/>
          <w:rtl w:val="0"/>
        </w:rPr>
        <w:t xml:space="preserve">change = 139.96,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Hypothesis 2 was supported.</w:t>
      </w:r>
    </w:p>
    <w:p w:rsidR="00000000" w:rsidDel="00000000" w:rsidP="00000000" w:rsidRDefault="00000000" w:rsidRPr="00000000" w14:paraId="00000041">
      <w:pPr>
        <w:spacing w:after="0" w:before="0" w:line="480" w:lineRule="auto"/>
        <w:ind w:lef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3 predicted that after-hours work contact would be positively related to emotional exhaustion. After controlling for covariates, after-hours work contact was significantly and positively related to emotional exhaustion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 .76, </w:t>
      </w:r>
      <w:r w:rsidDel="00000000" w:rsidR="00000000" w:rsidRPr="00000000">
        <w:rPr>
          <w:rFonts w:ascii="Times New Roman" w:cs="Times New Roman" w:eastAsia="Times New Roman" w:hAnsi="Times New Roman"/>
          <w:i w:val="1"/>
          <w:iCs w:val="1"/>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 .05, </w:t>
      </w:r>
      <w:r w:rsidDel="00000000" w:rsidR="00000000" w:rsidRPr="00000000">
        <w:rPr>
          <w:rFonts w:ascii="Times New Roman" w:cs="Times New Roman" w:eastAsia="Times New Roman" w:hAnsi="Times New Roman"/>
          <w:i w:val="1"/>
          <w:iCs w:val="1"/>
          <w:sz w:val="24"/>
          <w:szCs w:val="24"/>
          <w:rtl w:val="0"/>
        </w:rPr>
        <w:t xml:space="preserve">t </w:t>
      </w:r>
      <w:r w:rsidDel="00000000" w:rsidR="00000000" w:rsidRPr="00000000">
        <w:rPr>
          <w:rFonts w:ascii="Times New Roman" w:cs="Times New Roman" w:eastAsia="Times New Roman" w:hAnsi="Times New Roman"/>
          <w:sz w:val="24"/>
          <w:szCs w:val="24"/>
          <w:rtl w:val="0"/>
        </w:rPr>
        <w:t xml:space="preserve">= 16.04,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95% CI [.66, .85]). The addition of after-hours work contact explained an additional 53.1% of variance in emotional exhaustion (Δ</w:t>
      </w:r>
      <w:r w:rsidDel="00000000" w:rsidR="00000000" w:rsidRPr="00000000">
        <w:rPr>
          <w:rFonts w:ascii="Times New Roman" w:cs="Times New Roman" w:eastAsia="Times New Roman" w:hAnsi="Times New Roman"/>
          <w:i w:val="1"/>
          <w:iCs w:val="1"/>
          <w:sz w:val="24"/>
          <w:szCs w:val="24"/>
          <w:rtl w:val="0"/>
        </w:rPr>
        <w:t xml:space="preserve">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.531, </w:t>
      </w:r>
      <w:r w:rsidDel="00000000" w:rsidR="00000000" w:rsidRPr="00000000">
        <w:rPr>
          <w:rFonts w:ascii="Times New Roman" w:cs="Times New Roman" w:eastAsia="Times New Roman" w:hAnsi="Times New Roman"/>
          <w:i w:val="1"/>
          <w:iCs w:val="1"/>
          <w:sz w:val="24"/>
          <w:szCs w:val="24"/>
          <w:rtl w:val="0"/>
        </w:rPr>
        <w:t xml:space="preserve">F </w:t>
      </w:r>
      <w:r w:rsidDel="00000000" w:rsidR="00000000" w:rsidRPr="00000000">
        <w:rPr>
          <w:rFonts w:ascii="Times New Roman" w:cs="Times New Roman" w:eastAsia="Times New Roman" w:hAnsi="Times New Roman"/>
          <w:sz w:val="24"/>
          <w:szCs w:val="24"/>
          <w:rtl w:val="0"/>
        </w:rPr>
        <w:t xml:space="preserve">change = 257.32,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Hypothesis 3 was supported.</w:t>
      </w:r>
    </w:p>
    <w:p w:rsidR="00000000" w:rsidDel="00000000" w:rsidP="00000000" w:rsidRDefault="00000000" w:rsidRPr="00000000" w14:paraId="00000042">
      <w:pPr>
        <w:spacing w:after="0" w:before="0" w:line="480" w:lineRule="auto"/>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Mediation Analyses</w:t>
      </w:r>
    </w:p>
    <w:p w:rsidR="00000000" w:rsidDel="00000000" w:rsidP="00000000" w:rsidRDefault="00000000" w:rsidRPr="00000000" w14:paraId="00000043">
      <w:pPr>
        <w:spacing w:after="0" w:before="0" w:line="480" w:lineRule="auto"/>
        <w:ind w:left="60" w:right="10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Mediation results are presented in Table 3. Hypothesis 4 predicted that emotional exhaustion would mediate the positive relationship between leader workaholism and turnover intention. Leader workaholism was significantly and positively related to emotional exhaustion (path a: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 .85, </w:t>
      </w:r>
      <w:r w:rsidDel="00000000" w:rsidR="00000000" w:rsidRPr="00000000">
        <w:rPr>
          <w:rFonts w:ascii="Times New Roman" w:cs="Times New Roman" w:eastAsia="Times New Roman" w:hAnsi="Times New Roman"/>
          <w:i w:val="1"/>
          <w:iCs w:val="1"/>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 .06,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and emotional exhaustion was significantly and positively related to turnover intention when controlling for leader workaholism (path b: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 .41, </w:t>
      </w:r>
      <w:r w:rsidDel="00000000" w:rsidR="00000000" w:rsidRPr="00000000">
        <w:rPr>
          <w:rFonts w:ascii="Times New Roman" w:cs="Times New Roman" w:eastAsia="Times New Roman" w:hAnsi="Times New Roman"/>
          <w:i w:val="1"/>
          <w:iCs w:val="1"/>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 .07,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The total effect of leader workaholism on turnover intention was significant (c: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 .75, </w:t>
      </w:r>
      <w:r w:rsidDel="00000000" w:rsidR="00000000" w:rsidRPr="00000000">
        <w:rPr>
          <w:rFonts w:ascii="Times New Roman" w:cs="Times New Roman" w:eastAsia="Times New Roman" w:hAnsi="Times New Roman"/>
          <w:i w:val="1"/>
          <w:iCs w:val="1"/>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 .06,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and the direct effect remained significant after including the mediator (c':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 .41, </w:t>
      </w:r>
      <w:r w:rsidDel="00000000" w:rsidR="00000000" w:rsidRPr="00000000">
        <w:rPr>
          <w:rFonts w:ascii="Times New Roman" w:cs="Times New Roman" w:eastAsia="Times New Roman" w:hAnsi="Times New Roman"/>
          <w:i w:val="1"/>
          <w:iCs w:val="1"/>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 .08,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The indirect effect through emotional exhaustion was significant (ab = .35, 95% Boot CI [.23, .47]). Because the direct effect remained significant, these results indicate partial mediation. Hypothesis 4 was supported.</w:t>
      </w:r>
    </w:p>
    <w:p w:rsidR="00000000" w:rsidDel="00000000" w:rsidP="00000000" w:rsidRDefault="00000000" w:rsidRPr="00000000" w14:paraId="00000044">
      <w:pPr>
        <w:spacing w:after="0" w:before="0" w:line="480" w:lineRule="auto"/>
        <w:ind w:left="60" w:righ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5 predicted that job satisfaction would mediate the positive relationship between leader workaholism and turnover intention. Leader workaholism was significantly and negatively related to job satisfaction (path a: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Gungsuh" w:cs="Gungsuh" w:eastAsia="Gungsuh" w:hAnsi="Gungsuh"/>
          <w:sz w:val="24"/>
          <w:szCs w:val="24"/>
          <w:rtl w:val="0"/>
        </w:rPr>
        <w:t xml:space="preserve">= −.75, </w:t>
      </w:r>
      <w:r w:rsidDel="00000000" w:rsidR="00000000" w:rsidRPr="00000000">
        <w:rPr>
          <w:rFonts w:ascii="Times New Roman" w:cs="Times New Roman" w:eastAsia="Times New Roman" w:hAnsi="Times New Roman"/>
          <w:i w:val="1"/>
          <w:iCs w:val="1"/>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 .06,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and job satisfaction was significantly and negatively related to turnover intention when controlling for leader workaholism (path b: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Gungsuh" w:cs="Gungsuh" w:eastAsia="Gungsuh" w:hAnsi="Gungsuh"/>
          <w:sz w:val="24"/>
          <w:szCs w:val="24"/>
          <w:rtl w:val="0"/>
        </w:rPr>
        <w:t xml:space="preserve">= −.38, </w:t>
      </w:r>
      <w:r w:rsidDel="00000000" w:rsidR="00000000" w:rsidRPr="00000000">
        <w:rPr>
          <w:rFonts w:ascii="Times New Roman" w:cs="Times New Roman" w:eastAsia="Times New Roman" w:hAnsi="Times New Roman"/>
          <w:i w:val="1"/>
          <w:iCs w:val="1"/>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 .07,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The total effect of leader workaholism on turnover intention was significant (c: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 .75, </w:t>
      </w:r>
      <w:r w:rsidDel="00000000" w:rsidR="00000000" w:rsidRPr="00000000">
        <w:rPr>
          <w:rFonts w:ascii="Times New Roman" w:cs="Times New Roman" w:eastAsia="Times New Roman" w:hAnsi="Times New Roman"/>
          <w:i w:val="1"/>
          <w:iCs w:val="1"/>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 .06,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The direct effect of leader workaholism on turnover intention remained significant after including the mediator (c': </w:t>
      </w:r>
      <w:r w:rsidDel="00000000" w:rsidR="00000000" w:rsidRPr="00000000">
        <w:rPr>
          <w:rFonts w:ascii="Times New Roman" w:cs="Times New Roman" w:eastAsia="Times New Roman" w:hAnsi="Times New Roman"/>
          <w:i w:val="1"/>
          <w:i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 .47, </w:t>
      </w:r>
      <w:r w:rsidDel="00000000" w:rsidR="00000000" w:rsidRPr="00000000">
        <w:rPr>
          <w:rFonts w:ascii="Times New Roman" w:cs="Times New Roman" w:eastAsia="Times New Roman" w:hAnsi="Times New Roman"/>
          <w:i w:val="1"/>
          <w:iCs w:val="1"/>
          <w:sz w:val="24"/>
          <w:szCs w:val="24"/>
          <w:rtl w:val="0"/>
        </w:rPr>
        <w:t xml:space="preserve">SE </w:t>
      </w:r>
      <w:r w:rsidDel="00000000" w:rsidR="00000000" w:rsidRPr="00000000">
        <w:rPr>
          <w:rFonts w:ascii="Times New Roman" w:cs="Times New Roman" w:eastAsia="Times New Roman" w:hAnsi="Times New Roman"/>
          <w:sz w:val="24"/>
          <w:szCs w:val="24"/>
          <w:rtl w:val="0"/>
        </w:rPr>
        <w:t xml:space="preserve">= .08,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 The indirect effect through job satisfaction was significant (ab = .29, 95% Boot CI [.19, .40]). Because the direct effect remained significant, these results indicate partial mediation. Hypothesis 5 was supported.</w:t>
      </w:r>
    </w:p>
    <w:p w:rsidR="00000000" w:rsidDel="00000000" w:rsidP="00000000" w:rsidRDefault="00000000" w:rsidRPr="00000000" w14:paraId="00000045">
      <w:pPr>
        <w:pStyle w:val="Heading1"/>
        <w:keepNext w:val="0"/>
        <w:keepLines w:val="0"/>
        <w:spacing w:after="0" w:before="0" w:line="480" w:lineRule="auto"/>
        <w:ind w:left="60" w:firstLine="20"/>
        <w:jc w:val="center"/>
        <w:rPr>
          <w:rFonts w:ascii="Times New Roman" w:cs="Times New Roman" w:eastAsia="Times New Roman" w:hAnsi="Times New Roman"/>
          <w:b w:val="1"/>
          <w:bCs w:val="1"/>
          <w:sz w:val="24"/>
          <w:szCs w:val="24"/>
        </w:rPr>
      </w:pPr>
      <w:bookmarkStart w:colFirst="0" w:colLast="0" w:name="_qidhxc70o3gv" w:id="12"/>
      <w:bookmarkEnd w:id="12"/>
      <w:r w:rsidDel="00000000" w:rsidR="00000000" w:rsidRPr="00000000">
        <w:rPr>
          <w:rFonts w:ascii="Times New Roman" w:cs="Times New Roman" w:eastAsia="Times New Roman" w:hAnsi="Times New Roman"/>
          <w:b w:val="1"/>
          <w:bCs w:val="1"/>
          <w:sz w:val="24"/>
          <w:szCs w:val="24"/>
          <w:rtl w:val="0"/>
        </w:rPr>
        <w:t xml:space="preserve">Discussion</w:t>
      </w:r>
    </w:p>
    <w:p w:rsidR="00000000" w:rsidDel="00000000" w:rsidP="00000000" w:rsidRDefault="00000000" w:rsidRPr="00000000" w14:paraId="00000046">
      <w:pPr>
        <w:spacing w:after="0" w:before="0" w:line="480" w:lineRule="auto"/>
        <w:ind w:lef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consequences of perceived leader workaholism among employees in Kern County's agriculture and food processing industry. Across all five hypotheses, results provided consistent support for the proposed theoretical model. Leaders who are perceived as workaholics are associated with lower food safety compliance (H1), higher turnover intention (H2), and elevated after-hours work contact that, in turn, predicts greater emotional exhaustion (H3). Furthermore, both emotional exhaustion (H4) and job satisfaction (H5) partially mediated the relationship between leader workaholism and turnover intention.</w:t>
      </w:r>
    </w:p>
    <w:p w:rsidR="00000000" w:rsidDel="00000000" w:rsidP="00000000" w:rsidRDefault="00000000" w:rsidRPr="00000000" w14:paraId="00000047">
      <w:pPr>
        <w:spacing w:after="0" w:before="0" w:line="480" w:lineRule="auto"/>
        <w:ind w:lef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 that leader workaholism negatively predicts food safety compliance extends prior work demonstrating that leadership style shapes employees' adherence to safety procedures (Ko &amp; Kang, 2019; Neal &amp; Griffin, 2006). From a COR theory perspective (Hobfoll, 1989), workaholic supervisors drain the attentional and energetic resources that employees need to maintain consistent procedural safety. When employees are chronically fatigued or distracted by unrealistic work demands, their capacity to follow safety protocols, which require sustained attention and procedural diligence, is compromised. These findings carry particularly important implications for the agriculture and food processing sector, where lapses in food safety compliance can lead to public health crises.</w:t>
      </w:r>
    </w:p>
    <w:p w:rsidR="00000000" w:rsidDel="00000000" w:rsidP="00000000" w:rsidRDefault="00000000" w:rsidRPr="00000000" w14:paraId="00000048">
      <w:pPr>
        <w:spacing w:after="0" w:before="0" w:line="480" w:lineRule="auto"/>
        <w:ind w:lef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positive relationship between leader workaholism and turnover intention (H2) aligns with broader evidence that poor leadership quality undermines employee retention (Clark et al., 2016; Colarelli, 1984). Employees working under workaholic supervisors may develop a sense of role overload, perceiving that the implicit demands of the job extend well beyond their formal responsibilities. Over time, this sense of inequity and exhaustion makes leaving the organization appear increasingly attractive.</w:t>
      </w:r>
    </w:p>
    <w:p w:rsidR="00000000" w:rsidDel="00000000" w:rsidP="00000000" w:rsidRDefault="00000000" w:rsidRPr="00000000" w14:paraId="00000049">
      <w:pPr>
        <w:spacing w:after="0" w:before="0" w:line="480" w:lineRule="auto"/>
        <w:ind w:left="60" w:right="12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partial nature of the mediation effects is noteworthy. Although emotional exhaustion and job satisfaction each partially explained the workaholism–turnover intention relationship, the direct effect remained significant, suggesting that other unmodeled mechanisms (such as loss of autonomy, reduced organizational trust, or diminished work-life balance) also contribute to employees' turnover intentions. Future research would benefit from examining additional mediators to more fully explain this relationship.</w:t>
      </w:r>
    </w:p>
    <w:p w:rsidR="00000000" w:rsidDel="00000000" w:rsidP="00000000" w:rsidRDefault="00000000" w:rsidRPr="00000000" w14:paraId="0000004A">
      <w:pPr>
        <w:pStyle w:val="Heading1"/>
        <w:keepNext w:val="0"/>
        <w:keepLines w:val="0"/>
        <w:spacing w:after="0" w:before="0" w:line="480" w:lineRule="auto"/>
        <w:ind w:left="60" w:firstLine="20"/>
        <w:jc w:val="center"/>
        <w:rPr>
          <w:rFonts w:ascii="Times New Roman" w:cs="Times New Roman" w:eastAsia="Times New Roman" w:hAnsi="Times New Roman"/>
          <w:b w:val="1"/>
          <w:bCs w:val="1"/>
          <w:sz w:val="24"/>
          <w:szCs w:val="24"/>
        </w:rPr>
      </w:pPr>
      <w:bookmarkStart w:colFirst="0" w:colLast="0" w:name="_o5y1e5axdpma" w:id="13"/>
      <w:bookmarkEnd w:id="13"/>
      <w:r w:rsidDel="00000000" w:rsidR="00000000" w:rsidRPr="00000000">
        <w:rPr>
          <w:rFonts w:ascii="Times New Roman" w:cs="Times New Roman" w:eastAsia="Times New Roman" w:hAnsi="Times New Roman"/>
          <w:b w:val="1"/>
          <w:bCs w:val="1"/>
          <w:sz w:val="24"/>
          <w:szCs w:val="24"/>
          <w:rtl w:val="0"/>
        </w:rPr>
        <w:t xml:space="preserve">Practical Implications</w:t>
      </w:r>
    </w:p>
    <w:p w:rsidR="00000000" w:rsidDel="00000000" w:rsidP="00000000" w:rsidRDefault="00000000" w:rsidRPr="00000000" w14:paraId="0000004B">
      <w:pPr>
        <w:spacing w:after="0" w:before="0" w:line="480" w:lineRule="auto"/>
        <w:ind w:left="6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carry actionable implications for organizations in the agriculture and food processing sector. First, organizations should consider assessing workaholic tendencies during supervisory hiring and promotion decisions. Instruments such as the DUWAS (Schaufeli et al., 2009) could be adapted for organizational screening to identify candidates who model healthy work boundaries. Second, supervisors who already occupy leadership roles should receive targeted training on boundary management and the risks of after-hours work contact. Establishing explicit organizational norms, such as right-to-disconnect policies, can signal that overwork is neither expected nor rewarded, reducing the downstream burden on employees. Third, given that food safety compliance is directly implicated in this study’s findings, safety-critical industries should integrate leadership behavior assessments into their systems for managing food safety. Regular 360-degree feedback that includes employees' perceptions of their supervisors' work habits could serve as an early warning system for emerging compliance risks. Finally, organizations should address emotional exhaustion proactively through employee assistance programs, access to mental health resources, and workload audits that help identify chronically overloaded teams.</w:t>
      </w:r>
    </w:p>
    <w:p w:rsidR="00000000" w:rsidDel="00000000" w:rsidP="00000000" w:rsidRDefault="00000000" w:rsidRPr="00000000" w14:paraId="0000004C">
      <w:pPr>
        <w:pStyle w:val="Heading1"/>
        <w:keepNext w:val="0"/>
        <w:keepLines w:val="0"/>
        <w:spacing w:after="0" w:before="0" w:line="480" w:lineRule="auto"/>
        <w:ind w:left="60" w:firstLine="20"/>
        <w:jc w:val="center"/>
        <w:rPr>
          <w:rFonts w:ascii="Times New Roman" w:cs="Times New Roman" w:eastAsia="Times New Roman" w:hAnsi="Times New Roman"/>
          <w:b w:val="1"/>
          <w:bCs w:val="1"/>
          <w:sz w:val="24"/>
          <w:szCs w:val="24"/>
        </w:rPr>
      </w:pPr>
      <w:bookmarkStart w:colFirst="0" w:colLast="0" w:name="_hrghuaz6579r" w:id="14"/>
      <w:bookmarkEnd w:id="14"/>
      <w:r w:rsidDel="00000000" w:rsidR="00000000" w:rsidRPr="00000000">
        <w:rPr>
          <w:rFonts w:ascii="Times New Roman" w:cs="Times New Roman" w:eastAsia="Times New Roman" w:hAnsi="Times New Roman"/>
          <w:b w:val="1"/>
          <w:bCs w:val="1"/>
          <w:sz w:val="24"/>
          <w:szCs w:val="24"/>
          <w:rtl w:val="0"/>
        </w:rPr>
        <w:t xml:space="preserve">Limitations and Future Directions</w:t>
      </w:r>
    </w:p>
    <w:p w:rsidR="00000000" w:rsidDel="00000000" w:rsidP="00000000" w:rsidRDefault="00000000" w:rsidRPr="00000000" w14:paraId="0000004D">
      <w:pPr>
        <w:spacing w:after="0" w:before="0" w:line="480" w:lineRule="auto"/>
        <w:ind w:left="60" w:right="120" w:firstLine="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has several limitations that should be acknowledged. First, the cross-sectional design precludes causal inference. Although the hypothesized direction of effects is theoretically grounded, longitudinal or experimental designs would be needed to establish causality. Second, all measures relied on self-report data from a single source, raising the possibility of common method variance (Podsakoff et al., 2003). Future research should incorporate objective measures, such as official food safety scores from audits or organizational turnover records, to complement employee reports. Third, the sample was drawn exclusively from Kern County, California, which may limit generalizability to other regions or industries. Future studies should replicate these findings in broader and more diverse samples, including other agricultural regions and international food processing contexts. Fourth, the study examined only two mediators; future research should explore additional mechanisms such as psychological safety, leader-member exchange quality, and organizational commitment.</w:t>
      </w:r>
    </w:p>
    <w:p w:rsidR="00000000" w:rsidDel="00000000" w:rsidP="00000000" w:rsidRDefault="00000000" w:rsidRPr="00000000" w14:paraId="0000004E">
      <w:pPr>
        <w:pStyle w:val="Heading1"/>
        <w:keepNext w:val="0"/>
        <w:keepLines w:val="0"/>
        <w:spacing w:after="0" w:before="0" w:line="480" w:lineRule="auto"/>
        <w:ind w:left="60" w:firstLine="20"/>
        <w:jc w:val="center"/>
        <w:rPr>
          <w:rFonts w:ascii="Times New Roman" w:cs="Times New Roman" w:eastAsia="Times New Roman" w:hAnsi="Times New Roman"/>
          <w:b w:val="1"/>
          <w:bCs w:val="1"/>
          <w:sz w:val="24"/>
          <w:szCs w:val="24"/>
        </w:rPr>
      </w:pPr>
      <w:bookmarkStart w:colFirst="0" w:colLast="0" w:name="_a1s38nz3uq3p" w:id="15"/>
      <w:bookmarkEnd w:id="15"/>
      <w:r w:rsidDel="00000000" w:rsidR="00000000" w:rsidRPr="00000000">
        <w:rPr>
          <w:rFonts w:ascii="Times New Roman" w:cs="Times New Roman" w:eastAsia="Times New Roman" w:hAnsi="Times New Roman"/>
          <w:b w:val="1"/>
          <w:bCs w:val="1"/>
          <w:sz w:val="24"/>
          <w:szCs w:val="24"/>
          <w:rtl w:val="0"/>
        </w:rPr>
        <w:t xml:space="preserve">Conclusion</w:t>
      </w:r>
    </w:p>
    <w:p w:rsidR="00000000" w:rsidDel="00000000" w:rsidP="00000000" w:rsidRDefault="00000000" w:rsidRPr="00000000" w14:paraId="0000004F">
      <w:pPr>
        <w:spacing w:after="0" w:before="0" w:line="480" w:lineRule="auto"/>
        <w:ind w:left="60" w:firstLine="2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The present study provides evidence that leader workaholism exerts meaningful and detrimental effects on food safety compliance and employee retention in the agriculture and food processing industry. By depleting employees' resources through excessive work demands and after-hours contact, workaholic leaders erode the psychological foundation necessary for sustained safety compliance and organizational commitment. As the agriculture and food processing sector continues to face workforce challenges, the findings of this study emphasize the necessity of cultivating supervisory cultures that prioritize employee well-being alongside productivity. Investing in healthier leadership norms is not merely a matter of worker welfare; it is a strategic imperative for organizational safety, stability, and long-term performance.</w:t>
      </w:r>
      <w:r w:rsidDel="00000000" w:rsidR="00000000" w:rsidRPr="00000000">
        <w:br w:type="page"/>
      </w:r>
      <w:r w:rsidDel="00000000" w:rsidR="00000000" w:rsidRPr="00000000">
        <w:rPr>
          <w:rtl w:val="0"/>
        </w:rPr>
      </w:r>
    </w:p>
    <w:p w:rsidR="00000000" w:rsidDel="00000000" w:rsidP="00000000" w:rsidRDefault="00000000" w:rsidRPr="00000000" w14:paraId="00000050">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ks618pyu96zx" w:id="16"/>
      <w:bookmarkEnd w:id="16"/>
      <w:r w:rsidDel="00000000" w:rsidR="00000000" w:rsidRPr="00000000">
        <w:rPr>
          <w:rFonts w:ascii="Times New Roman" w:cs="Times New Roman" w:eastAsia="Times New Roman" w:hAnsi="Times New Roman"/>
          <w:b w:val="1"/>
          <w:bCs w:val="1"/>
          <w:sz w:val="24"/>
          <w:szCs w:val="24"/>
          <w:rtl w:val="0"/>
        </w:rPr>
        <w:t xml:space="preserve">References</w:t>
      </w:r>
    </w:p>
    <w:p w:rsidR="00000000" w:rsidDel="00000000" w:rsidP="00000000" w:rsidRDefault="00000000" w:rsidRPr="00000000" w14:paraId="00000051">
      <w:pPr>
        <w:spacing w:before="200"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Bandura, A. (1977). </w:t>
      </w:r>
      <w:r w:rsidDel="00000000" w:rsidR="00000000" w:rsidRPr="00000000">
        <w:rPr>
          <w:rFonts w:ascii="Times New Roman" w:cs="Times New Roman" w:eastAsia="Times New Roman" w:hAnsi="Times New Roman"/>
          <w:i w:val="1"/>
          <w:iCs w:val="1"/>
          <w:sz w:val="24"/>
          <w:szCs w:val="24"/>
          <w:rtl w:val="0"/>
        </w:rPr>
        <w:t xml:space="preserve">Social learning theory</w:t>
      </w:r>
      <w:r w:rsidDel="00000000" w:rsidR="00000000" w:rsidRPr="00000000">
        <w:rPr>
          <w:rFonts w:ascii="Times New Roman" w:cs="Times New Roman" w:eastAsia="Times New Roman" w:hAnsi="Times New Roman"/>
          <w:sz w:val="24"/>
          <w:szCs w:val="24"/>
          <w:rtl w:val="0"/>
        </w:rPr>
        <w:t xml:space="preserve">. Prentice Hall.</w:t>
      </w:r>
    </w:p>
    <w:p w:rsidR="00000000" w:rsidDel="00000000" w:rsidP="00000000" w:rsidRDefault="00000000" w:rsidRPr="00000000" w14:paraId="00000052">
      <w:pPr>
        <w:spacing w:before="200" w:line="417.59999999999997"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Cammann, C., Fichman, M., Jenkins, G. D., &amp; Klesh, J. R. (1983). Assessing the attitudes and perceptions of organizational members. In S. E. Seashore, E. E. Lawler III, P. H. Mirvis, &amp; C. Cammann (Eds.), </w:t>
      </w:r>
      <w:r w:rsidDel="00000000" w:rsidR="00000000" w:rsidRPr="00000000">
        <w:rPr>
          <w:rFonts w:ascii="Times New Roman" w:cs="Times New Roman" w:eastAsia="Times New Roman" w:hAnsi="Times New Roman"/>
          <w:i w:val="1"/>
          <w:iCs w:val="1"/>
          <w:sz w:val="24"/>
          <w:szCs w:val="24"/>
          <w:rtl w:val="0"/>
        </w:rPr>
        <w:t xml:space="preserve">Assessing organizational change: A guide to methods, measures, and practices </w:t>
      </w:r>
      <w:r w:rsidDel="00000000" w:rsidR="00000000" w:rsidRPr="00000000">
        <w:rPr>
          <w:rFonts w:ascii="Times New Roman" w:cs="Times New Roman" w:eastAsia="Times New Roman" w:hAnsi="Times New Roman"/>
          <w:sz w:val="24"/>
          <w:szCs w:val="24"/>
          <w:rtl w:val="0"/>
        </w:rPr>
        <w:t xml:space="preserve">(pp. 71–138). Wiley.</w:t>
      </w:r>
    </w:p>
    <w:p w:rsidR="00000000" w:rsidDel="00000000" w:rsidP="00000000" w:rsidRDefault="00000000" w:rsidRPr="00000000" w14:paraId="00000053">
      <w:pPr>
        <w:spacing w:line="480" w:lineRule="auto"/>
        <w:ind w:left="720" w:right="0" w:hanging="720"/>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Clark, M. A., Michel, J. S., Zhdanova, L., Pui, S. Y., &amp; Baltes, B. B. (2016). All work and no play? A meta-analytic examination of the correlates and outcomes of workaholism. </w:t>
      </w:r>
      <w:r w:rsidDel="00000000" w:rsidR="00000000" w:rsidRPr="00000000">
        <w:rPr>
          <w:rFonts w:ascii="Times New Roman" w:cs="Times New Roman" w:eastAsia="Times New Roman" w:hAnsi="Times New Roman"/>
          <w:i w:val="1"/>
          <w:iCs w:val="1"/>
          <w:sz w:val="24"/>
          <w:szCs w:val="24"/>
          <w:rtl w:val="0"/>
        </w:rPr>
        <w:t xml:space="preserve">Journal of Management, 42</w:t>
      </w:r>
      <w:r w:rsidDel="00000000" w:rsidR="00000000" w:rsidRPr="00000000">
        <w:rPr>
          <w:rFonts w:ascii="Times New Roman" w:cs="Times New Roman" w:eastAsia="Times New Roman" w:hAnsi="Times New Roman"/>
          <w:sz w:val="24"/>
          <w:szCs w:val="24"/>
          <w:rtl w:val="0"/>
        </w:rPr>
        <w:t xml:space="preserve">(7), 1836–1873.</w:t>
      </w:r>
      <w:hyperlink r:id="rId6">
        <w:r w:rsidDel="00000000" w:rsidR="00000000" w:rsidRPr="00000000">
          <w:rPr>
            <w:rFonts w:ascii="Times New Roman" w:cs="Times New Roman" w:eastAsia="Times New Roman" w:hAnsi="Times New Roman"/>
            <w:sz w:val="24"/>
            <w:szCs w:val="24"/>
            <w:rtl w:val="0"/>
          </w:rPr>
          <w:t xml:space="preserve"> </w:t>
        </w:r>
      </w:hyperlink>
      <w:hyperlink r:id="rId7">
        <w:r w:rsidDel="00000000" w:rsidR="00000000" w:rsidRPr="00000000">
          <w:rPr>
            <w:rFonts w:ascii="Times New Roman" w:cs="Times New Roman" w:eastAsia="Times New Roman" w:hAnsi="Times New Roman"/>
            <w:color w:val="1155cc"/>
            <w:sz w:val="24"/>
            <w:szCs w:val="24"/>
            <w:rtl w:val="0"/>
          </w:rPr>
          <w:t xml:space="preserve">https://doi.org/10.1177/0149206314522301</w:t>
        </w:r>
      </w:hyperlink>
      <w:r w:rsidDel="00000000" w:rsidR="00000000" w:rsidRPr="00000000">
        <w:rPr>
          <w:rtl w:val="0"/>
        </w:rPr>
      </w:r>
    </w:p>
    <w:p w:rsidR="00000000" w:rsidDel="00000000" w:rsidP="00000000" w:rsidRDefault="00000000" w:rsidRPr="00000000" w14:paraId="00000054">
      <w:pPr>
        <w:spacing w:line="415.20000000000005" w:lineRule="auto"/>
        <w:ind w:left="720" w:right="0" w:hanging="720"/>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Clark, M. A., Smith, R. W., &amp; Haynes, N. J. (2020). The Multidimensional Workaholism Scale: Linking the conceptualization and measurement of workaholism. </w:t>
      </w:r>
      <w:r w:rsidDel="00000000" w:rsidR="00000000" w:rsidRPr="00000000">
        <w:rPr>
          <w:rFonts w:ascii="Times New Roman" w:cs="Times New Roman" w:eastAsia="Times New Roman" w:hAnsi="Times New Roman"/>
          <w:i w:val="1"/>
          <w:iCs w:val="1"/>
          <w:sz w:val="24"/>
          <w:szCs w:val="24"/>
          <w:rtl w:val="0"/>
        </w:rPr>
        <w:t xml:space="preserve">Journal of Applied Psychology, 105</w:t>
      </w:r>
      <w:r w:rsidDel="00000000" w:rsidR="00000000" w:rsidRPr="00000000">
        <w:rPr>
          <w:rFonts w:ascii="Times New Roman" w:cs="Times New Roman" w:eastAsia="Times New Roman" w:hAnsi="Times New Roman"/>
          <w:sz w:val="24"/>
          <w:szCs w:val="24"/>
          <w:rtl w:val="0"/>
        </w:rPr>
        <w:t xml:space="preserve">(11), 1281–1307.</w:t>
      </w:r>
      <w:hyperlink r:id="rId8">
        <w:r w:rsidDel="00000000" w:rsidR="00000000" w:rsidRPr="00000000">
          <w:rPr>
            <w:rFonts w:ascii="Times New Roman" w:cs="Times New Roman" w:eastAsia="Times New Roman" w:hAnsi="Times New Roman"/>
            <w:sz w:val="24"/>
            <w:szCs w:val="24"/>
            <w:rtl w:val="0"/>
          </w:rPr>
          <w:t xml:space="preserve"> </w:t>
        </w:r>
      </w:hyperlink>
      <w:hyperlink r:id="rId9">
        <w:r w:rsidDel="00000000" w:rsidR="00000000" w:rsidRPr="00000000">
          <w:rPr>
            <w:rFonts w:ascii="Times New Roman" w:cs="Times New Roman" w:eastAsia="Times New Roman" w:hAnsi="Times New Roman"/>
            <w:color w:val="1155cc"/>
            <w:sz w:val="24"/>
            <w:szCs w:val="24"/>
            <w:rtl w:val="0"/>
          </w:rPr>
          <w:t xml:space="preserve">https://doi.org/10.1037/apl0000484</w:t>
        </w:r>
      </w:hyperlink>
      <w:r w:rsidDel="00000000" w:rsidR="00000000" w:rsidRPr="00000000">
        <w:rPr>
          <w:rtl w:val="0"/>
        </w:rPr>
      </w:r>
    </w:p>
    <w:p w:rsidR="00000000" w:rsidDel="00000000" w:rsidP="00000000" w:rsidRDefault="00000000" w:rsidRPr="00000000" w14:paraId="00000055">
      <w:pPr>
        <w:spacing w:before="200" w:line="415.20000000000005"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Colarelli, S. M. (1984). Methods of communication and mediating processes in realistic job previews. </w:t>
      </w:r>
      <w:r w:rsidDel="00000000" w:rsidR="00000000" w:rsidRPr="00000000">
        <w:rPr>
          <w:rFonts w:ascii="Times New Roman" w:cs="Times New Roman" w:eastAsia="Times New Roman" w:hAnsi="Times New Roman"/>
          <w:i w:val="1"/>
          <w:iCs w:val="1"/>
          <w:sz w:val="24"/>
          <w:szCs w:val="24"/>
          <w:rtl w:val="0"/>
        </w:rPr>
        <w:t xml:space="preserve">Journal of Applied Psychology, 69</w:t>
      </w:r>
      <w:r w:rsidDel="00000000" w:rsidR="00000000" w:rsidRPr="00000000">
        <w:rPr>
          <w:rFonts w:ascii="Times New Roman" w:cs="Times New Roman" w:eastAsia="Times New Roman" w:hAnsi="Times New Roman"/>
          <w:sz w:val="24"/>
          <w:szCs w:val="24"/>
          <w:rtl w:val="0"/>
        </w:rPr>
        <w:t xml:space="preserve">, 633–642.</w:t>
      </w:r>
    </w:p>
    <w:p w:rsidR="00000000" w:rsidDel="00000000" w:rsidP="00000000" w:rsidRDefault="00000000" w:rsidRPr="00000000" w14:paraId="00000056">
      <w:pPr>
        <w:spacing w:line="415.20000000000005"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Derks, D., van Duin, D., Tims, M., &amp; Bakker, A. B. (2015). Smartphone use and work–home interference: The moderating role of social norms and employee work engagement.</w:t>
      </w:r>
    </w:p>
    <w:p w:rsidR="00000000" w:rsidDel="00000000" w:rsidP="00000000" w:rsidRDefault="00000000" w:rsidRPr="00000000" w14:paraId="00000057">
      <w:pPr>
        <w:spacing w:line="301.0909090909091"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Journal of Occupational and Organizational Psychology, 88</w:t>
      </w:r>
      <w:r w:rsidDel="00000000" w:rsidR="00000000" w:rsidRPr="00000000">
        <w:rPr>
          <w:rFonts w:ascii="Times New Roman" w:cs="Times New Roman" w:eastAsia="Times New Roman" w:hAnsi="Times New Roman"/>
          <w:sz w:val="24"/>
          <w:szCs w:val="24"/>
          <w:rtl w:val="0"/>
        </w:rPr>
        <w:t xml:space="preserve">, 155–177.</w:t>
      </w:r>
    </w:p>
    <w:p w:rsidR="00000000" w:rsidDel="00000000" w:rsidP="00000000" w:rsidRDefault="00000000" w:rsidRPr="00000000" w14:paraId="00000058">
      <w:pPr>
        <w:spacing w:before="200"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Greenhaus, J. H., &amp; Beutell, N. J. (1985). Sources of conflict between work and family roles.</w:t>
      </w:r>
    </w:p>
    <w:p w:rsidR="00000000" w:rsidDel="00000000" w:rsidP="00000000" w:rsidRDefault="00000000" w:rsidRPr="00000000" w14:paraId="00000059">
      <w:pPr>
        <w:spacing w:before="200"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Academy of Management Review, 10</w:t>
      </w:r>
      <w:r w:rsidDel="00000000" w:rsidR="00000000" w:rsidRPr="00000000">
        <w:rPr>
          <w:rFonts w:ascii="Times New Roman" w:cs="Times New Roman" w:eastAsia="Times New Roman" w:hAnsi="Times New Roman"/>
          <w:sz w:val="24"/>
          <w:szCs w:val="24"/>
          <w:rtl w:val="0"/>
        </w:rPr>
        <w:t xml:space="preserve">(1), 76–88.</w:t>
      </w:r>
    </w:p>
    <w:p w:rsidR="00000000" w:rsidDel="00000000" w:rsidP="00000000" w:rsidRDefault="00000000" w:rsidRPr="00000000" w14:paraId="0000005A">
      <w:pPr>
        <w:spacing w:before="200" w:line="415.20000000000005"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Hayes, A. F. (2022). </w:t>
      </w:r>
      <w:r w:rsidDel="00000000" w:rsidR="00000000" w:rsidRPr="00000000">
        <w:rPr>
          <w:rFonts w:ascii="Times New Roman" w:cs="Times New Roman" w:eastAsia="Times New Roman" w:hAnsi="Times New Roman"/>
          <w:i w:val="1"/>
          <w:iCs w:val="1"/>
          <w:sz w:val="24"/>
          <w:szCs w:val="24"/>
          <w:rtl w:val="0"/>
        </w:rPr>
        <w:t xml:space="preserve">Introduction to mediation, moderation, and conditional process analysis: A regression-based approach </w:t>
      </w:r>
      <w:r w:rsidDel="00000000" w:rsidR="00000000" w:rsidRPr="00000000">
        <w:rPr>
          <w:rFonts w:ascii="Times New Roman" w:cs="Times New Roman" w:eastAsia="Times New Roman" w:hAnsi="Times New Roman"/>
          <w:sz w:val="24"/>
          <w:szCs w:val="24"/>
          <w:rtl w:val="0"/>
        </w:rPr>
        <w:t xml:space="preserve">(3rd ed.). Guilford Press.</w:t>
      </w:r>
    </w:p>
    <w:p w:rsidR="00000000" w:rsidDel="00000000" w:rsidP="00000000" w:rsidRDefault="00000000" w:rsidRPr="00000000" w14:paraId="0000005B">
      <w:pPr>
        <w:spacing w:before="80"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Hobfoll, S. E. (1989). Conservation of resources: A new attempt at conceptualizing stress.</w:t>
      </w:r>
    </w:p>
    <w:p w:rsidR="00000000" w:rsidDel="00000000" w:rsidP="00000000" w:rsidRDefault="00000000" w:rsidRPr="00000000" w14:paraId="0000005C">
      <w:pPr>
        <w:spacing w:before="200"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American Psychologist, 44</w:t>
      </w:r>
      <w:r w:rsidDel="00000000" w:rsidR="00000000" w:rsidRPr="00000000">
        <w:rPr>
          <w:rFonts w:ascii="Times New Roman" w:cs="Times New Roman" w:eastAsia="Times New Roman" w:hAnsi="Times New Roman"/>
          <w:sz w:val="24"/>
          <w:szCs w:val="24"/>
          <w:rtl w:val="0"/>
        </w:rPr>
        <w:t xml:space="preserve">(3), 513–524.</w:t>
      </w:r>
    </w:p>
    <w:p w:rsidR="00000000" w:rsidDel="00000000" w:rsidP="00000000" w:rsidRDefault="00000000" w:rsidRPr="00000000" w14:paraId="0000005D">
      <w:pPr>
        <w:spacing w:before="200" w:line="415.20000000000005" w:lineRule="auto"/>
        <w:ind w:left="720" w:right="0" w:hanging="720"/>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Kim, K. H., &amp; Chon, M. G. (2022). When work and life boundaries are blurred: The effect of after-hours work communication through communication technology on employee outcomes. </w:t>
      </w:r>
      <w:r w:rsidDel="00000000" w:rsidR="00000000" w:rsidRPr="00000000">
        <w:rPr>
          <w:rFonts w:ascii="Times New Roman" w:cs="Times New Roman" w:eastAsia="Times New Roman" w:hAnsi="Times New Roman"/>
          <w:i w:val="1"/>
          <w:iCs w:val="1"/>
          <w:sz w:val="24"/>
          <w:szCs w:val="24"/>
          <w:rtl w:val="0"/>
        </w:rPr>
        <w:t xml:space="preserve">Journal of Communication Management, 26</w:t>
      </w:r>
      <w:r w:rsidDel="00000000" w:rsidR="00000000" w:rsidRPr="00000000">
        <w:rPr>
          <w:rFonts w:ascii="Times New Roman" w:cs="Times New Roman" w:eastAsia="Times New Roman" w:hAnsi="Times New Roman"/>
          <w:sz w:val="24"/>
          <w:szCs w:val="24"/>
          <w:rtl w:val="0"/>
        </w:rPr>
        <w:t xml:space="preserve">(4), 386–403.</w:t>
      </w:r>
      <w:hyperlink r:id="rId10">
        <w:r w:rsidDel="00000000" w:rsidR="00000000" w:rsidRPr="00000000">
          <w:rPr>
            <w:rFonts w:ascii="Times New Roman" w:cs="Times New Roman" w:eastAsia="Times New Roman" w:hAnsi="Times New Roman"/>
            <w:sz w:val="24"/>
            <w:szCs w:val="24"/>
            <w:rtl w:val="0"/>
          </w:rPr>
          <w:t xml:space="preserve"> </w:t>
        </w:r>
      </w:hyperlink>
      <w:hyperlink r:id="rId11">
        <w:r w:rsidDel="00000000" w:rsidR="00000000" w:rsidRPr="00000000">
          <w:rPr>
            <w:rFonts w:ascii="Times New Roman" w:cs="Times New Roman" w:eastAsia="Times New Roman" w:hAnsi="Times New Roman"/>
            <w:color w:val="1155cc"/>
            <w:sz w:val="24"/>
            <w:szCs w:val="24"/>
            <w:rtl w:val="0"/>
          </w:rPr>
          <w:t xml:space="preserve">https://doi.org/10.1108/jcom-06-2022-0073</w:t>
        </w:r>
      </w:hyperlink>
      <w:r w:rsidDel="00000000" w:rsidR="00000000" w:rsidRPr="00000000">
        <w:rPr>
          <w:rtl w:val="0"/>
        </w:rPr>
      </w:r>
    </w:p>
    <w:p w:rsidR="00000000" w:rsidDel="00000000" w:rsidP="00000000" w:rsidRDefault="00000000" w:rsidRPr="00000000" w14:paraId="0000005E">
      <w:pPr>
        <w:spacing w:line="415.20000000000005" w:lineRule="auto"/>
        <w:ind w:left="720" w:right="0" w:hanging="720"/>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Ko, W., &amp; Kang, H. (2019). Effect of leadership style and organizational climate on employees' food safety and hygiene behaviors in the institutional food service of schools. </w:t>
      </w:r>
      <w:r w:rsidDel="00000000" w:rsidR="00000000" w:rsidRPr="00000000">
        <w:rPr>
          <w:rFonts w:ascii="Times New Roman" w:cs="Times New Roman" w:eastAsia="Times New Roman" w:hAnsi="Times New Roman"/>
          <w:i w:val="1"/>
          <w:iCs w:val="1"/>
          <w:sz w:val="24"/>
          <w:szCs w:val="24"/>
          <w:rtl w:val="0"/>
        </w:rPr>
        <w:t xml:space="preserve">Food Science &amp; Nutrition, 7</w:t>
      </w:r>
      <w:r w:rsidDel="00000000" w:rsidR="00000000" w:rsidRPr="00000000">
        <w:rPr>
          <w:rFonts w:ascii="Times New Roman" w:cs="Times New Roman" w:eastAsia="Times New Roman" w:hAnsi="Times New Roman"/>
          <w:sz w:val="24"/>
          <w:szCs w:val="24"/>
          <w:rtl w:val="0"/>
        </w:rPr>
        <w:t xml:space="preserve">(7), 2400–2411.</w:t>
      </w:r>
      <w:hyperlink r:id="rId12">
        <w:r w:rsidDel="00000000" w:rsidR="00000000" w:rsidRPr="00000000">
          <w:rPr>
            <w:rFonts w:ascii="Times New Roman" w:cs="Times New Roman" w:eastAsia="Times New Roman" w:hAnsi="Times New Roman"/>
            <w:sz w:val="24"/>
            <w:szCs w:val="24"/>
            <w:rtl w:val="0"/>
          </w:rPr>
          <w:t xml:space="preserve"> </w:t>
        </w:r>
      </w:hyperlink>
      <w:hyperlink r:id="rId13">
        <w:r w:rsidDel="00000000" w:rsidR="00000000" w:rsidRPr="00000000">
          <w:rPr>
            <w:rFonts w:ascii="Times New Roman" w:cs="Times New Roman" w:eastAsia="Times New Roman" w:hAnsi="Times New Roman"/>
            <w:color w:val="1155cc"/>
            <w:sz w:val="24"/>
            <w:szCs w:val="24"/>
            <w:rtl w:val="0"/>
          </w:rPr>
          <w:t xml:space="preserve">https://doi.org/10.1002/fsn3.1056</w:t>
        </w:r>
      </w:hyperlink>
      <w:r w:rsidDel="00000000" w:rsidR="00000000" w:rsidRPr="00000000">
        <w:rPr>
          <w:rtl w:val="0"/>
        </w:rPr>
      </w:r>
    </w:p>
    <w:p w:rsidR="00000000" w:rsidDel="00000000" w:rsidP="00000000" w:rsidRDefault="00000000" w:rsidRPr="00000000" w14:paraId="0000005F">
      <w:pPr>
        <w:spacing w:line="415.20000000000005"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Maslach, C., &amp; Jackson, S. E. (1981). The measurement of experienced burnout. </w:t>
      </w:r>
      <w:r w:rsidDel="00000000" w:rsidR="00000000" w:rsidRPr="00000000">
        <w:rPr>
          <w:rFonts w:ascii="Times New Roman" w:cs="Times New Roman" w:eastAsia="Times New Roman" w:hAnsi="Times New Roman"/>
          <w:i w:val="1"/>
          <w:iCs w:val="1"/>
          <w:sz w:val="24"/>
          <w:szCs w:val="24"/>
          <w:rtl w:val="0"/>
        </w:rPr>
        <w:t xml:space="preserve">Journal of Occupational Behaviour, 2</w:t>
      </w:r>
      <w:r w:rsidDel="00000000" w:rsidR="00000000" w:rsidRPr="00000000">
        <w:rPr>
          <w:rFonts w:ascii="Times New Roman" w:cs="Times New Roman" w:eastAsia="Times New Roman" w:hAnsi="Times New Roman"/>
          <w:sz w:val="24"/>
          <w:szCs w:val="24"/>
          <w:rtl w:val="0"/>
        </w:rPr>
        <w:t xml:space="preserve">(2), 99–113.</w:t>
      </w:r>
    </w:p>
    <w:p w:rsidR="00000000" w:rsidDel="00000000" w:rsidP="00000000" w:rsidRDefault="00000000" w:rsidRPr="00000000" w14:paraId="00000060">
      <w:pPr>
        <w:spacing w:line="415.20000000000005"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Neal, A., &amp; Griffin, M. A. (2006). A study of the lagged relationships among safety climate, safety motivation, safety behavior, and accidents at the individual and group levels. </w:t>
      </w:r>
      <w:r w:rsidDel="00000000" w:rsidR="00000000" w:rsidRPr="00000000">
        <w:rPr>
          <w:rFonts w:ascii="Times New Roman" w:cs="Times New Roman" w:eastAsia="Times New Roman" w:hAnsi="Times New Roman"/>
          <w:i w:val="1"/>
          <w:iCs w:val="1"/>
          <w:sz w:val="24"/>
          <w:szCs w:val="24"/>
          <w:rtl w:val="0"/>
        </w:rPr>
        <w:t xml:space="preserve">Journal of Applied Psychology, 91</w:t>
      </w:r>
      <w:r w:rsidDel="00000000" w:rsidR="00000000" w:rsidRPr="00000000">
        <w:rPr>
          <w:rFonts w:ascii="Times New Roman" w:cs="Times New Roman" w:eastAsia="Times New Roman" w:hAnsi="Times New Roman"/>
          <w:sz w:val="24"/>
          <w:szCs w:val="24"/>
          <w:rtl w:val="0"/>
        </w:rPr>
        <w:t xml:space="preserve">, 946–953.</w:t>
      </w:r>
    </w:p>
    <w:p w:rsidR="00000000" w:rsidDel="00000000" w:rsidP="00000000" w:rsidRDefault="00000000" w:rsidRPr="00000000" w14:paraId="00000061">
      <w:pPr>
        <w:spacing w:line="415.20000000000005"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T. W. H., &amp; Feldman, D. C. (2010). The relationships of age with job attitudes: A meta-analysis. </w:t>
      </w:r>
      <w:r w:rsidDel="00000000" w:rsidR="00000000" w:rsidRPr="00000000">
        <w:rPr>
          <w:rFonts w:ascii="Times New Roman" w:cs="Times New Roman" w:eastAsia="Times New Roman" w:hAnsi="Times New Roman"/>
          <w:i w:val="1"/>
          <w:iCs w:val="1"/>
          <w:sz w:val="24"/>
          <w:szCs w:val="24"/>
          <w:rtl w:val="0"/>
        </w:rPr>
        <w:t xml:space="preserve">Personnel Psychology, 63</w:t>
      </w:r>
      <w:r w:rsidDel="00000000" w:rsidR="00000000" w:rsidRPr="00000000">
        <w:rPr>
          <w:rFonts w:ascii="Times New Roman" w:cs="Times New Roman" w:eastAsia="Times New Roman" w:hAnsi="Times New Roman"/>
          <w:sz w:val="24"/>
          <w:szCs w:val="24"/>
          <w:rtl w:val="0"/>
        </w:rPr>
        <w:t xml:space="preserve">, 677–718.</w:t>
      </w:r>
    </w:p>
    <w:p w:rsidR="00000000" w:rsidDel="00000000" w:rsidP="00000000" w:rsidRDefault="00000000" w:rsidRPr="00000000" w14:paraId="00000062">
      <w:pPr>
        <w:spacing w:line="301.0909090909091"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Nunnally, J. C. (1978). </w:t>
      </w:r>
      <w:r w:rsidDel="00000000" w:rsidR="00000000" w:rsidRPr="00000000">
        <w:rPr>
          <w:rFonts w:ascii="Times New Roman" w:cs="Times New Roman" w:eastAsia="Times New Roman" w:hAnsi="Times New Roman"/>
          <w:i w:val="1"/>
          <w:iCs w:val="1"/>
          <w:sz w:val="24"/>
          <w:szCs w:val="24"/>
          <w:rtl w:val="0"/>
        </w:rPr>
        <w:t xml:space="preserve">Psychometric theory </w:t>
      </w:r>
      <w:r w:rsidDel="00000000" w:rsidR="00000000" w:rsidRPr="00000000">
        <w:rPr>
          <w:rFonts w:ascii="Times New Roman" w:cs="Times New Roman" w:eastAsia="Times New Roman" w:hAnsi="Times New Roman"/>
          <w:sz w:val="24"/>
          <w:szCs w:val="24"/>
          <w:rtl w:val="0"/>
        </w:rPr>
        <w:t xml:space="preserve">(2nd ed.). McGraw-Hill.</w:t>
      </w:r>
    </w:p>
    <w:p w:rsidR="00000000" w:rsidDel="00000000" w:rsidP="00000000" w:rsidRDefault="00000000" w:rsidRPr="00000000" w14:paraId="00000063">
      <w:pPr>
        <w:spacing w:before="200" w:line="417.59999999999997"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Oates, W. (1971). </w:t>
      </w:r>
      <w:r w:rsidDel="00000000" w:rsidR="00000000" w:rsidRPr="00000000">
        <w:rPr>
          <w:rFonts w:ascii="Times New Roman" w:cs="Times New Roman" w:eastAsia="Times New Roman" w:hAnsi="Times New Roman"/>
          <w:i w:val="1"/>
          <w:iCs w:val="1"/>
          <w:sz w:val="24"/>
          <w:szCs w:val="24"/>
          <w:rtl w:val="0"/>
        </w:rPr>
        <w:t xml:space="preserve">Confessions of a workaholic: The facts about work addiction</w:t>
      </w:r>
      <w:r w:rsidDel="00000000" w:rsidR="00000000" w:rsidRPr="00000000">
        <w:rPr>
          <w:rFonts w:ascii="Times New Roman" w:cs="Times New Roman" w:eastAsia="Times New Roman" w:hAnsi="Times New Roman"/>
          <w:sz w:val="24"/>
          <w:szCs w:val="24"/>
          <w:rtl w:val="0"/>
        </w:rPr>
        <w:t xml:space="preserve">. World Publishing.</w:t>
      </w:r>
    </w:p>
    <w:p w:rsidR="00000000" w:rsidDel="00000000" w:rsidP="00000000" w:rsidRDefault="00000000" w:rsidRPr="00000000" w14:paraId="00000064">
      <w:pPr>
        <w:spacing w:before="200" w:line="417.59999999999997" w:lineRule="auto"/>
        <w:ind w:left="720" w:right="0" w:hanging="720"/>
        <w:rPr>
          <w:rFonts w:ascii="Times New Roman" w:cs="Times New Roman" w:eastAsia="Times New Roman" w:hAnsi="Times New Roman"/>
          <w:color w:val="1155cc"/>
          <w:sz w:val="24"/>
          <w:szCs w:val="24"/>
        </w:rPr>
      </w:pPr>
      <w:r w:rsidDel="00000000" w:rsidR="00000000" w:rsidRPr="00000000">
        <w:rPr>
          <w:rFonts w:ascii="Times New Roman" w:cs="Times New Roman" w:eastAsia="Times New Roman" w:hAnsi="Times New Roman"/>
          <w:sz w:val="24"/>
          <w:szCs w:val="24"/>
          <w:rtl w:val="0"/>
        </w:rPr>
        <w:t xml:space="preserve">Podsakoff, P. M., MacKenzie, S. B., Lee, J.-Y., &amp; Podsakoff, N. P. (2003). Common method biases in behavioral research: A critical review of the literature and recommended remedies. </w:t>
      </w:r>
      <w:r w:rsidDel="00000000" w:rsidR="00000000" w:rsidRPr="00000000">
        <w:rPr>
          <w:rFonts w:ascii="Times New Roman" w:cs="Times New Roman" w:eastAsia="Times New Roman" w:hAnsi="Times New Roman"/>
          <w:i w:val="1"/>
          <w:iCs w:val="1"/>
          <w:sz w:val="24"/>
          <w:szCs w:val="24"/>
          <w:rtl w:val="0"/>
        </w:rPr>
        <w:t xml:space="preserve">Journal of Applied Psychology, 88</w:t>
      </w:r>
      <w:r w:rsidDel="00000000" w:rsidR="00000000" w:rsidRPr="00000000">
        <w:rPr>
          <w:rFonts w:ascii="Times New Roman" w:cs="Times New Roman" w:eastAsia="Times New Roman" w:hAnsi="Times New Roman"/>
          <w:sz w:val="24"/>
          <w:szCs w:val="24"/>
          <w:rtl w:val="0"/>
        </w:rPr>
        <w:t xml:space="preserve">(5), 879–903.</w:t>
      </w:r>
      <w:hyperlink r:id="rId14">
        <w:r w:rsidDel="00000000" w:rsidR="00000000" w:rsidRPr="00000000">
          <w:rPr>
            <w:rFonts w:ascii="Times New Roman" w:cs="Times New Roman" w:eastAsia="Times New Roman" w:hAnsi="Times New Roman"/>
            <w:sz w:val="24"/>
            <w:szCs w:val="24"/>
            <w:rtl w:val="0"/>
          </w:rPr>
          <w:t xml:space="preserve"> </w:t>
        </w:r>
      </w:hyperlink>
      <w:hyperlink r:id="rId15">
        <w:r w:rsidDel="00000000" w:rsidR="00000000" w:rsidRPr="00000000">
          <w:rPr>
            <w:rFonts w:ascii="Times New Roman" w:cs="Times New Roman" w:eastAsia="Times New Roman" w:hAnsi="Times New Roman"/>
            <w:color w:val="1155cc"/>
            <w:sz w:val="24"/>
            <w:szCs w:val="24"/>
            <w:rtl w:val="0"/>
          </w:rPr>
          <w:t xml:space="preserve">https://doi.org/10.1037/0021-9010.88.5.879</w:t>
        </w:r>
      </w:hyperlink>
      <w:r w:rsidDel="00000000" w:rsidR="00000000" w:rsidRPr="00000000">
        <w:rPr>
          <w:rtl w:val="0"/>
        </w:rPr>
      </w:r>
    </w:p>
    <w:p w:rsidR="00000000" w:rsidDel="00000000" w:rsidP="00000000" w:rsidRDefault="00000000" w:rsidRPr="00000000" w14:paraId="00000065">
      <w:pPr>
        <w:spacing w:line="415.20000000000005" w:lineRule="auto"/>
        <w:ind w:left="720" w:right="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Schaufeli, W. B., Shimazu, A., &amp; Taris, T. W. (2009). Being driven to work excessively hard: The evaluation of a two-factor measure of workaholism in the Netherlands and Japan. </w:t>
      </w:r>
      <w:r w:rsidDel="00000000" w:rsidR="00000000" w:rsidRPr="00000000">
        <w:rPr>
          <w:rFonts w:ascii="Times New Roman" w:cs="Times New Roman" w:eastAsia="Times New Roman" w:hAnsi="Times New Roman"/>
          <w:i w:val="1"/>
          <w:iCs w:val="1"/>
          <w:sz w:val="24"/>
          <w:szCs w:val="24"/>
          <w:rtl w:val="0"/>
        </w:rPr>
        <w:t xml:space="preserve">Cross-Cultural Research, 43</w:t>
      </w:r>
      <w:r w:rsidDel="00000000" w:rsidR="00000000" w:rsidRPr="00000000">
        <w:rPr>
          <w:rFonts w:ascii="Times New Roman" w:cs="Times New Roman" w:eastAsia="Times New Roman" w:hAnsi="Times New Roman"/>
          <w:sz w:val="24"/>
          <w:szCs w:val="24"/>
          <w:rtl w:val="0"/>
        </w:rPr>
        <w:t xml:space="preserve">, 320–348.</w:t>
      </w:r>
    </w:p>
    <w:p w:rsidR="00000000" w:rsidDel="00000000" w:rsidP="00000000" w:rsidRDefault="00000000" w:rsidRPr="00000000" w14:paraId="00000066">
      <w:pPr>
        <w:spacing w:line="480" w:lineRule="auto"/>
        <w:ind w:left="720" w:right="0" w:hanging="72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U.S. Bureau of Labor Statistics. (2023). </w:t>
      </w:r>
      <w:r w:rsidDel="00000000" w:rsidR="00000000" w:rsidRPr="00000000">
        <w:rPr>
          <w:rFonts w:ascii="Times New Roman" w:cs="Times New Roman" w:eastAsia="Times New Roman" w:hAnsi="Times New Roman"/>
          <w:i w:val="1"/>
          <w:iCs w:val="1"/>
          <w:sz w:val="24"/>
          <w:szCs w:val="24"/>
          <w:rtl w:val="0"/>
        </w:rPr>
        <w:t xml:space="preserve">Occupational outlook handbook: Agricultural workers</w:t>
      </w:r>
      <w:r w:rsidDel="00000000" w:rsidR="00000000" w:rsidRPr="00000000">
        <w:rPr>
          <w:rFonts w:ascii="Times New Roman" w:cs="Times New Roman" w:eastAsia="Times New Roman" w:hAnsi="Times New Roman"/>
          <w:sz w:val="24"/>
          <w:szCs w:val="24"/>
          <w:rtl w:val="0"/>
        </w:rPr>
        <w:t xml:space="preserve">. U.S. Department of Labor.</w:t>
      </w:r>
      <w:hyperlink r:id="rId16">
        <w:r w:rsidDel="00000000" w:rsidR="00000000" w:rsidRPr="00000000">
          <w:rPr>
            <w:rFonts w:ascii="Times New Roman" w:cs="Times New Roman" w:eastAsia="Times New Roman" w:hAnsi="Times New Roman"/>
            <w:sz w:val="24"/>
            <w:szCs w:val="24"/>
            <w:rtl w:val="0"/>
          </w:rPr>
          <w:t xml:space="preserve"> </w:t>
        </w:r>
      </w:hyperlink>
      <w:hyperlink r:id="rId17">
        <w:r w:rsidDel="00000000" w:rsidR="00000000" w:rsidRPr="00000000">
          <w:rPr>
            <w:rFonts w:ascii="Times New Roman" w:cs="Times New Roman" w:eastAsia="Times New Roman" w:hAnsi="Times New Roman"/>
            <w:color w:val="1155cc"/>
            <w:sz w:val="24"/>
            <w:szCs w:val="24"/>
            <w:rtl w:val="0"/>
          </w:rPr>
          <w:t xml:space="preserve">https://www.bls.gov/ooh/farming-fishing-and-forestry/agricultural-workers.htm</w:t>
        </w:r>
      </w:hyperlink>
      <w:r w:rsidDel="00000000" w:rsidR="00000000" w:rsidRPr="00000000">
        <w:br w:type="page"/>
      </w:r>
      <w:r w:rsidDel="00000000" w:rsidR="00000000" w:rsidRPr="00000000">
        <w:rPr>
          <w:rtl w:val="0"/>
        </w:rPr>
      </w:r>
    </w:p>
    <w:p w:rsidR="00000000" w:rsidDel="00000000" w:rsidP="00000000" w:rsidRDefault="00000000" w:rsidRPr="00000000" w14:paraId="00000067">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mtfcdlq2l20o" w:id="17"/>
      <w:bookmarkEnd w:id="17"/>
      <w:r w:rsidDel="00000000" w:rsidR="00000000" w:rsidRPr="00000000">
        <w:rPr>
          <w:rFonts w:ascii="Times New Roman" w:cs="Times New Roman" w:eastAsia="Times New Roman" w:hAnsi="Times New Roman"/>
          <w:b w:val="1"/>
          <w:bCs w:val="1"/>
          <w:sz w:val="24"/>
          <w:szCs w:val="24"/>
          <w:rtl w:val="0"/>
        </w:rPr>
        <w:t xml:space="preserve">Appendix A</w:t>
      </w:r>
    </w:p>
    <w:p w:rsidR="00000000" w:rsidDel="00000000" w:rsidP="00000000" w:rsidRDefault="00000000" w:rsidRPr="00000000" w14:paraId="00000068">
      <w:pPr>
        <w:spacing w:before="200"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1</w:t>
      </w:r>
    </w:p>
    <w:p w:rsidR="00000000" w:rsidDel="00000000" w:rsidP="00000000" w:rsidRDefault="00000000" w:rsidRPr="00000000" w14:paraId="00000069">
      <w:pPr>
        <w:spacing w:before="80" w:lineRule="auto"/>
        <w:ind w:left="6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Descriptive Statistics, Reliabilities, and Intercorrelations Among Study Variables</w:t>
      </w:r>
    </w:p>
    <w:p w:rsidR="00000000" w:rsidDel="00000000" w:rsidP="00000000" w:rsidRDefault="00000000" w:rsidRPr="00000000" w14:paraId="0000006A">
      <w:pPr>
        <w:spacing w:before="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bl>
      <w:tblPr>
        <w:tblStyle w:val="Table1"/>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70"/>
        <w:gridCol w:w="825"/>
        <w:gridCol w:w="705"/>
        <w:gridCol w:w="420"/>
        <w:gridCol w:w="420"/>
        <w:gridCol w:w="780"/>
        <w:gridCol w:w="630"/>
        <w:gridCol w:w="630"/>
        <w:gridCol w:w="705"/>
        <w:gridCol w:w="630"/>
        <w:gridCol w:w="630"/>
        <w:tblGridChange w:id="0">
          <w:tblGrid>
            <w:gridCol w:w="2670"/>
            <w:gridCol w:w="825"/>
            <w:gridCol w:w="705"/>
            <w:gridCol w:w="420"/>
            <w:gridCol w:w="420"/>
            <w:gridCol w:w="780"/>
            <w:gridCol w:w="630"/>
            <w:gridCol w:w="630"/>
            <w:gridCol w:w="705"/>
            <w:gridCol w:w="630"/>
            <w:gridCol w:w="630"/>
          </w:tblGrid>
        </w:tblGridChange>
      </w:tblGrid>
      <w:tr>
        <w:trPr>
          <w:cantSplit w:val="0"/>
          <w:trHeight w:val="510" w:hRule="atLeast"/>
          <w:tblHeader w:val="0"/>
        </w:trPr>
        <w:tc>
          <w:tcPr>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6B">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w:t>
            </w:r>
          </w:p>
        </w:tc>
        <w:tc>
          <w:tcPr>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6C">
            <w:pPr>
              <w:spacing w:before="120" w:lineRule="auto"/>
              <w:ind w:left="20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M</w:t>
            </w:r>
          </w:p>
        </w:tc>
        <w:tc>
          <w:tcPr>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6D">
            <w:pPr>
              <w:spacing w:before="120" w:lineRule="auto"/>
              <w:ind w:left="8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SD</w:t>
            </w:r>
          </w:p>
        </w:tc>
        <w:tc>
          <w:tcPr>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6E">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6F">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70">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71">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72">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73">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74">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75">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6">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Age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7">
            <w:pPr>
              <w:spacing w:before="12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8">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9">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A">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C">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E">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7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1">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Org. Tenure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2">
            <w:pPr>
              <w:spacing w:before="12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3">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4">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5">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6">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9">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A">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C">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Leader Workaholism</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D">
            <w:pPr>
              <w:spacing w:before="12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E">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8F">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0">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1">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2">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4">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6">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7">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Food Safety Compliance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8">
            <w:pPr>
              <w:spacing w:before="12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9">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A">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B">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C">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D">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E">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9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1">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2">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Turnover Intention</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3">
            <w:pPr>
              <w:spacing w:before="12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4">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5">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6">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7">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8">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9">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A">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C">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69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D">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After-Hours Work Contact</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E">
            <w:pPr>
              <w:spacing w:before="12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AF">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0">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1">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2">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3">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4">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5">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6">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8">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Emotional Exhaustion</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9">
            <w:pPr>
              <w:spacing w:before="12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A">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B">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C">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D">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E">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BF">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C0">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C1">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w:t>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C2">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10" w:hRule="atLeast"/>
          <w:tblHeader w:val="0"/>
        </w:trPr>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3">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Job Satisfaction</w:t>
            </w:r>
          </w:p>
        </w:tc>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4">
            <w:pPr>
              <w:spacing w:before="12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5">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6">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7">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8">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9">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A">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B">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C">
            <w:pPr>
              <w:spacing w:before="12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CD">
            <w:pPr>
              <w:spacing w:before="120" w:lineRule="auto"/>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bl>
    <w:p w:rsidR="00000000" w:rsidDel="00000000" w:rsidP="00000000" w:rsidRDefault="00000000" w:rsidRPr="00000000" w14:paraId="000000CE">
      <w:pPr>
        <w:spacing w:before="1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0CF">
      <w:pPr>
        <w:spacing w:line="410.4"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Note. N </w:t>
      </w:r>
      <w:r w:rsidDel="00000000" w:rsidR="00000000" w:rsidRPr="00000000">
        <w:rPr>
          <w:rFonts w:ascii="Times New Roman" w:cs="Times New Roman" w:eastAsia="Times New Roman" w:hAnsi="Times New Roman"/>
          <w:sz w:val="24"/>
          <w:szCs w:val="24"/>
          <w:rtl w:val="0"/>
        </w:rPr>
        <w:t xml:space="preserve">= 203. Internal consistency reliabilities (Cronbach’s alphas) are presented on the diagonal in parentheses. Means and standard deviations for study variables (rows 3–8) are to be inserted upon final data confirmation. **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.01.</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D2">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r5ay4iqpxhvv" w:id="18"/>
      <w:bookmarkEnd w:id="18"/>
      <w:r w:rsidDel="00000000" w:rsidR="00000000" w:rsidRPr="00000000">
        <w:br w:type="page"/>
      </w:r>
      <w:r w:rsidDel="00000000" w:rsidR="00000000" w:rsidRPr="00000000">
        <w:rPr>
          <w:rtl w:val="0"/>
        </w:rPr>
      </w:r>
    </w:p>
    <w:p w:rsidR="00000000" w:rsidDel="00000000" w:rsidP="00000000" w:rsidRDefault="00000000" w:rsidRPr="00000000" w14:paraId="000000D3">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xdygazsk09yf" w:id="19"/>
      <w:bookmarkEnd w:id="19"/>
      <w:r w:rsidDel="00000000" w:rsidR="00000000" w:rsidRPr="00000000">
        <w:rPr>
          <w:rFonts w:ascii="Times New Roman" w:cs="Times New Roman" w:eastAsia="Times New Roman" w:hAnsi="Times New Roman"/>
          <w:b w:val="1"/>
          <w:bCs w:val="1"/>
          <w:sz w:val="24"/>
          <w:szCs w:val="24"/>
          <w:rtl w:val="0"/>
        </w:rPr>
        <w:t xml:space="preserve">Appendix B</w:t>
      </w:r>
    </w:p>
    <w:p w:rsidR="00000000" w:rsidDel="00000000" w:rsidP="00000000" w:rsidRDefault="00000000" w:rsidRPr="00000000" w14:paraId="000000D4">
      <w:pPr>
        <w:spacing w:before="200"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2</w:t>
      </w:r>
    </w:p>
    <w:p w:rsidR="00000000" w:rsidDel="00000000" w:rsidP="00000000" w:rsidRDefault="00000000" w:rsidRPr="00000000" w14:paraId="000000D5">
      <w:pPr>
        <w:spacing w:before="200" w:lineRule="auto"/>
        <w:ind w:left="6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Hierarchical OLS Regression Results for Food Safety Compliance and Turnover Intention</w:t>
      </w:r>
    </w:p>
    <w:p w:rsidR="00000000" w:rsidDel="00000000" w:rsidP="00000000" w:rsidRDefault="00000000" w:rsidRPr="00000000" w14:paraId="000000D6">
      <w:pPr>
        <w:spacing w:before="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bl>
      <w:tblPr>
        <w:tblStyle w:val="Table2"/>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1365"/>
        <w:gridCol w:w="1230"/>
        <w:gridCol w:w="1185"/>
        <w:gridCol w:w="705"/>
        <w:gridCol w:w="660"/>
        <w:gridCol w:w="1290"/>
        <w:tblGridChange w:id="0">
          <w:tblGrid>
            <w:gridCol w:w="2625"/>
            <w:gridCol w:w="1365"/>
            <w:gridCol w:w="1230"/>
            <w:gridCol w:w="1185"/>
            <w:gridCol w:w="705"/>
            <w:gridCol w:w="660"/>
            <w:gridCol w:w="1290"/>
          </w:tblGrid>
        </w:tblGridChange>
      </w:tblGrid>
      <w:tr>
        <w:trPr>
          <w:cantSplit w:val="0"/>
          <w:trHeight w:val="510" w:hRule="atLeast"/>
          <w:tblHeader w:val="0"/>
        </w:trPr>
        <w:tc>
          <w:tcPr>
            <w:gridSpan w:val="4"/>
            <w:tcBorders>
              <w:top w:color="000000" w:space="0" w:sz="8" w:val="single"/>
              <w:left w:color="000000" w:space="0" w:sz="0" w:val="nil"/>
              <w:bottom w:color="000000" w:space="0" w:sz="8"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D7">
            <w:pPr>
              <w:spacing w:before="120" w:lineRule="auto"/>
              <w:ind w:left="40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Food Safety Compliance</w:t>
            </w:r>
          </w:p>
        </w:tc>
        <w:tc>
          <w:tcPr>
            <w:gridSpan w:val="3"/>
            <w:tcBorders>
              <w:top w:color="000000" w:space="0" w:sz="8" w:val="single"/>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B">
            <w:pPr>
              <w:spacing w:before="120" w:lineRule="auto"/>
              <w:ind w:left="7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Turnover Intention</w:t>
            </w:r>
          </w:p>
        </w:tc>
      </w:tr>
      <w:tr>
        <w:trPr>
          <w:cantSplit w:val="0"/>
          <w:trHeight w:val="510" w:hRule="atLeast"/>
          <w:tblHeader w:val="0"/>
        </w:trPr>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E">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Predictor</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DF">
            <w:pPr>
              <w:spacing w:before="120" w:lineRule="auto"/>
              <w:ind w:left="60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0">
            <w:pPr>
              <w:spacing w:before="120" w:lineRule="auto"/>
              <w:ind w:left="36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SE</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1">
            <w:pPr>
              <w:spacing w:before="120" w:lineRule="auto"/>
              <w:ind w:left="80" w:right="28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2">
            <w:pPr>
              <w:spacing w:before="120" w:lineRule="auto"/>
              <w:ind w:left="20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3">
            <w:pPr>
              <w:spacing w:before="120" w:lineRule="auto"/>
              <w:ind w:left="28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SE</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4">
            <w:pPr>
              <w:spacing w:before="120" w:lineRule="auto"/>
              <w:ind w:left="80" w:right="4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t</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5">
            <w:pPr>
              <w:spacing w:before="120" w:lineRule="auto"/>
              <w:ind w:left="18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Step 1: Controls</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6">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7">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8">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9">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A">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C">
            <w:pPr>
              <w:spacing w:before="120" w:lineRule="auto"/>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D">
            <w:pPr>
              <w:spacing w:before="120" w:lineRule="auto"/>
              <w:ind w:lef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E">
            <w:pPr>
              <w:spacing w:before="12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EF">
            <w:pPr>
              <w:spacing w:before="120" w:lineRule="auto"/>
              <w:ind w:left="8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0">
            <w:pPr>
              <w:spacing w:before="12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1">
            <w:pPr>
              <w:spacing w:before="120" w:lineRule="auto"/>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2">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3">
            <w:pPr>
              <w:spacing w:before="120" w:lineRule="auto"/>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 Tenure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4">
            <w:pPr>
              <w:spacing w:before="120" w:lineRule="auto"/>
              <w:ind w:lef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5">
            <w:pPr>
              <w:spacing w:before="12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6">
            <w:pPr>
              <w:spacing w:before="120" w:lineRule="auto"/>
              <w:ind w:left="8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7">
            <w:pPr>
              <w:spacing w:before="12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8">
            <w:pPr>
              <w:spacing w:before="120" w:lineRule="auto"/>
              <w:ind w:left="3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9">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A">
            <w:pPr>
              <w:spacing w:before="120" w:lineRule="auto"/>
              <w:ind w:left="18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Step 2: Focal Predictor</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C">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E">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FF">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1">
            <w:pPr>
              <w:spacing w:before="120" w:lineRule="auto"/>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Leader Workaholism</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2">
            <w:pPr>
              <w:spacing w:before="120" w:lineRule="auto"/>
              <w:ind w:left="600" w:firstLine="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−.42</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3">
            <w:pPr>
              <w:spacing w:before="120"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4">
            <w:pPr>
              <w:spacing w:before="120" w:lineRule="auto"/>
              <w:ind w:left="80" w:right="280" w:firstLine="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−8.71***</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5">
            <w:pPr>
              <w:spacing w:before="120" w:lineRule="auto"/>
              <w:ind w:lef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6">
            <w:pPr>
              <w:spacing w:before="120" w:lineRule="auto"/>
              <w:ind w:lef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7">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11.83***</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8">
            <w:pPr>
              <w:spacing w:before="120" w:lineRule="auto"/>
              <w:ind w:left="18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ΔR²</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9">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A">
            <w:pPr>
              <w:spacing w:before="120" w:lineRule="auto"/>
              <w:ind w:left="6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B">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C">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D">
            <w:pPr>
              <w:spacing w:before="120" w:lineRule="auto"/>
              <w:ind w:lef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.393</w:t>
            </w:r>
          </w:p>
        </w:tc>
      </w:tr>
      <w:tr>
        <w:trPr>
          <w:cantSplit w:val="0"/>
          <w:trHeight w:val="510" w:hRule="atLeast"/>
          <w:tblHeader w:val="0"/>
        </w:trPr>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0F">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F </w:t>
            </w:r>
            <w:r w:rsidDel="00000000" w:rsidR="00000000" w:rsidRPr="00000000">
              <w:rPr>
                <w:rFonts w:ascii="Times New Roman" w:cs="Times New Roman" w:eastAsia="Times New Roman" w:hAnsi="Times New Roman"/>
                <w:sz w:val="24"/>
                <w:szCs w:val="24"/>
                <w:rtl w:val="0"/>
              </w:rPr>
              <w:t xml:space="preserve">change</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10">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11">
            <w:pPr>
              <w:spacing w:before="120" w:lineRule="auto"/>
              <w:ind w:left="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75.90***</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12">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13">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14">
            <w:pPr>
              <w:spacing w:before="120" w:lineRule="auto"/>
              <w:ind w:lef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139.96***</w:t>
            </w:r>
          </w:p>
        </w:tc>
      </w:tr>
    </w:tbl>
    <w:p w:rsidR="00000000" w:rsidDel="00000000" w:rsidP="00000000" w:rsidRDefault="00000000" w:rsidRPr="00000000" w14:paraId="00000116">
      <w:pPr>
        <w:spacing w:before="18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117">
      <w:pPr>
        <w:spacing w:line="410.4"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Note. N </w:t>
      </w:r>
      <w:r w:rsidDel="00000000" w:rsidR="00000000" w:rsidRPr="00000000">
        <w:rPr>
          <w:rFonts w:ascii="Times New Roman" w:cs="Times New Roman" w:eastAsia="Times New Roman" w:hAnsi="Times New Roman"/>
          <w:sz w:val="24"/>
          <w:szCs w:val="24"/>
          <w:rtl w:val="0"/>
        </w:rPr>
        <w:t xml:space="preserve">= 203. Unstandardized regression coefficients are reported for the final step. Age and organizational tenure were entered in Step 1, but specific coefficients are omitted here to focus on focal relationships. 95%</w:t>
      </w:r>
    </w:p>
    <w:p w:rsidR="00000000" w:rsidDel="00000000" w:rsidP="00000000" w:rsidRDefault="00000000" w:rsidRPr="00000000" w14:paraId="00000118">
      <w:pPr>
        <w:spacing w:before="60" w:lineRule="auto"/>
        <w:ind w:left="60" w:firstLine="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CI for Leader Workaholism on Food Safety Compliance [−.52, −.33]; Turnover Intention [.63, .88]. ***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w:t>
      </w: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A">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pp8whloq0fkx" w:id="20"/>
      <w:bookmarkEnd w:id="20"/>
      <w:r w:rsidDel="00000000" w:rsidR="00000000" w:rsidRPr="00000000">
        <w:br w:type="page"/>
      </w:r>
      <w:r w:rsidDel="00000000" w:rsidR="00000000" w:rsidRPr="00000000">
        <w:rPr>
          <w:rtl w:val="0"/>
        </w:rPr>
      </w:r>
    </w:p>
    <w:p w:rsidR="00000000" w:rsidDel="00000000" w:rsidP="00000000" w:rsidRDefault="00000000" w:rsidRPr="00000000" w14:paraId="0000011B">
      <w:pPr>
        <w:pStyle w:val="Heading1"/>
        <w:keepNext w:val="0"/>
        <w:keepLines w:val="0"/>
        <w:spacing w:after="0" w:before="0" w:lineRule="auto"/>
        <w:jc w:val="center"/>
        <w:rPr>
          <w:rFonts w:ascii="Times New Roman" w:cs="Times New Roman" w:eastAsia="Times New Roman" w:hAnsi="Times New Roman"/>
          <w:b w:val="1"/>
          <w:bCs w:val="1"/>
          <w:sz w:val="24"/>
          <w:szCs w:val="24"/>
        </w:rPr>
      </w:pPr>
      <w:bookmarkStart w:colFirst="0" w:colLast="0" w:name="_4vm9kbv15vpq" w:id="21"/>
      <w:bookmarkEnd w:id="21"/>
      <w:r w:rsidDel="00000000" w:rsidR="00000000" w:rsidRPr="00000000">
        <w:rPr>
          <w:rFonts w:ascii="Times New Roman" w:cs="Times New Roman" w:eastAsia="Times New Roman" w:hAnsi="Times New Roman"/>
          <w:b w:val="1"/>
          <w:bCs w:val="1"/>
          <w:sz w:val="24"/>
          <w:szCs w:val="24"/>
          <w:rtl w:val="0"/>
        </w:rPr>
        <w:t xml:space="preserve">Appendix C</w:t>
      </w:r>
    </w:p>
    <w:p w:rsidR="00000000" w:rsidDel="00000000" w:rsidP="00000000" w:rsidRDefault="00000000" w:rsidRPr="00000000" w14:paraId="0000011C">
      <w:pPr>
        <w:spacing w:before="200" w:lineRule="auto"/>
        <w:ind w:left="6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 3</w:t>
      </w:r>
    </w:p>
    <w:p w:rsidR="00000000" w:rsidDel="00000000" w:rsidP="00000000" w:rsidRDefault="00000000" w:rsidRPr="00000000" w14:paraId="0000011D">
      <w:pPr>
        <w:spacing w:before="200" w:lineRule="auto"/>
        <w:ind w:left="6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Bootstrapped Mediation Analysis Results</w:t>
      </w:r>
    </w:p>
    <w:p w:rsidR="00000000" w:rsidDel="00000000" w:rsidP="00000000" w:rsidRDefault="00000000" w:rsidRPr="00000000" w14:paraId="0000011E">
      <w:pPr>
        <w:spacing w:before="6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tbl>
      <w:tblPr>
        <w:tblStyle w:val="Table3"/>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770"/>
        <w:gridCol w:w="1965"/>
        <w:gridCol w:w="690"/>
        <w:gridCol w:w="1635"/>
        <w:tblGridChange w:id="0">
          <w:tblGrid>
            <w:gridCol w:w="4770"/>
            <w:gridCol w:w="1965"/>
            <w:gridCol w:w="690"/>
            <w:gridCol w:w="1635"/>
          </w:tblGrid>
        </w:tblGridChange>
      </w:tblGrid>
      <w:tr>
        <w:trPr>
          <w:cantSplit w:val="0"/>
          <w:trHeight w:val="510" w:hRule="atLeast"/>
          <w:tblHeader w:val="0"/>
        </w:trPr>
        <w:tc>
          <w:tcPr>
            <w:tcBorders>
              <w:top w:color="000000" w:space="0" w:sz="8" w:val="single"/>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1F">
            <w:pPr>
              <w:spacing w:before="120" w:lineRule="auto"/>
              <w:ind w:left="1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Path</w:t>
            </w:r>
          </w:p>
        </w:tc>
        <w:tc>
          <w:tcPr>
            <w:tcBorders>
              <w:top w:color="000000" w:space="0" w:sz="8" w:val="single"/>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0">
            <w:pPr>
              <w:spacing w:before="120" w:lineRule="auto"/>
              <w:ind w:left="92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B</w:t>
            </w:r>
          </w:p>
        </w:tc>
        <w:tc>
          <w:tcPr>
            <w:tcBorders>
              <w:top w:color="000000" w:space="0" w:sz="8" w:val="single"/>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1">
            <w:pPr>
              <w:spacing w:before="120" w:lineRule="auto"/>
              <w:ind w:left="80" w:right="4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SE</w:t>
            </w:r>
          </w:p>
        </w:tc>
        <w:tc>
          <w:tcPr>
            <w:tcBorders>
              <w:top w:color="000000" w:space="0" w:sz="8" w:val="single"/>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2">
            <w:pPr>
              <w:spacing w:before="120" w:lineRule="auto"/>
              <w:ind w:left="8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Boot CI</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3">
            <w:pPr>
              <w:spacing w:before="120" w:lineRule="auto"/>
              <w:ind w:left="18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 1: Emotional Exhaustion as Mediator</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4">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5">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6">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7">
            <w:pPr>
              <w:spacing w:before="120" w:lineRule="auto"/>
              <w:ind w:left="320" w:firstLine="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Path a (Workaholism → Exhaustion)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8">
            <w:pPr>
              <w:spacing w:before="120" w:lineRule="auto"/>
              <w:ind w:left="9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9">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A">
            <w:pPr>
              <w:spacing w:before="120" w:lineRule="auto"/>
              <w:ind w:left="8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B">
            <w:pPr>
              <w:spacing w:before="120" w:lineRule="auto"/>
              <w:ind w:left="320" w:firstLine="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Path b (Exhaustion → Turnover Intention)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C">
            <w:pPr>
              <w:spacing w:before="120" w:lineRule="auto"/>
              <w:ind w:left="9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D">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E">
            <w:pPr>
              <w:spacing w:before="120" w:lineRule="auto"/>
              <w:ind w:left="8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2F">
            <w:pPr>
              <w:spacing w:before="120" w:lineRule="auto"/>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Effect (c)</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0">
            <w:pPr>
              <w:spacing w:before="120" w:lineRule="auto"/>
              <w:ind w:left="9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1">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2">
            <w:pPr>
              <w:spacing w:before="120" w:lineRule="auto"/>
              <w:ind w:left="8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3">
            <w:pPr>
              <w:spacing w:before="120" w:lineRule="auto"/>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 Effect (c')</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4">
            <w:pPr>
              <w:spacing w:before="120" w:lineRule="auto"/>
              <w:ind w:left="9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5">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6">
            <w:pPr>
              <w:spacing w:before="120" w:lineRule="auto"/>
              <w:ind w:left="8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7">
            <w:pPr>
              <w:spacing w:before="120" w:lineRule="auto"/>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Indirect Effect (ab)</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8">
            <w:pPr>
              <w:spacing w:before="120" w:lineRule="auto"/>
              <w:ind w:left="9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9">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A">
            <w:pPr>
              <w:spacing w:before="120" w:lineRule="auto"/>
              <w:ind w:left="8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.47]</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B">
            <w:pPr>
              <w:spacing w:before="120" w:lineRule="auto"/>
              <w:ind w:left="180"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Model 2: Job Satisfaction as Mediator</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C">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D">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E">
            <w:pPr>
              <w:ind w:lef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3F">
            <w:pPr>
              <w:spacing w:before="120" w:lineRule="auto"/>
              <w:ind w:left="320" w:firstLine="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Path a (Workaholism → Satisfaction)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0">
            <w:pPr>
              <w:spacing w:before="120" w:lineRule="auto"/>
              <w:ind w:left="920" w:firstLine="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−.75***</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1">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2">
            <w:pPr>
              <w:spacing w:before="120" w:lineRule="auto"/>
              <w:ind w:left="8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3">
            <w:pPr>
              <w:spacing w:before="120" w:lineRule="auto"/>
              <w:ind w:left="320" w:firstLine="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Path b (Satisfaction → Turnover Intention)</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4">
            <w:pPr>
              <w:spacing w:before="120" w:lineRule="auto"/>
              <w:ind w:left="920" w:firstLine="0"/>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−.38***</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5">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6">
            <w:pPr>
              <w:spacing w:before="120" w:lineRule="auto"/>
              <w:ind w:left="8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7">
            <w:pPr>
              <w:spacing w:before="120" w:lineRule="auto"/>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Effect (c)</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8">
            <w:pPr>
              <w:spacing w:before="120" w:lineRule="auto"/>
              <w:ind w:left="9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9">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A">
            <w:pPr>
              <w:spacing w:before="120" w:lineRule="auto"/>
              <w:ind w:left="8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B">
            <w:pPr>
              <w:spacing w:before="120" w:lineRule="auto"/>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 Effect (c')</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C">
            <w:pPr>
              <w:spacing w:before="120" w:lineRule="auto"/>
              <w:ind w:left="9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D">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w:t>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E">
            <w:pPr>
              <w:spacing w:before="120" w:lineRule="auto"/>
              <w:ind w:left="8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510" w:hRule="atLeast"/>
          <w:tblHeader w:val="0"/>
        </w:trPr>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4F">
            <w:pPr>
              <w:spacing w:before="120" w:lineRule="auto"/>
              <w:ind w:left="3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Indirect Effect (ab)</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50">
            <w:pPr>
              <w:spacing w:before="120" w:lineRule="auto"/>
              <w:ind w:left="9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51">
            <w:pPr>
              <w:spacing w:before="120" w:lineRule="auto"/>
              <w:ind w:left="80" w:right="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0" w:val="nil"/>
              <w:left w:color="000000" w:space="0" w:sz="0" w:val="nil"/>
              <w:bottom w:color="000000" w:space="0" w:sz="8"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152">
            <w:pPr>
              <w:spacing w:before="120" w:lineRule="auto"/>
              <w:ind w:left="80" w:right="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.40]</w:t>
            </w:r>
          </w:p>
        </w:tc>
      </w:tr>
    </w:tbl>
    <w:p w:rsidR="00000000" w:rsidDel="00000000" w:rsidP="00000000" w:rsidRDefault="00000000" w:rsidRPr="00000000" w14:paraId="00000153">
      <w:pPr>
        <w:spacing w:before="200" w:lineRule="auto"/>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 </w:t>
      </w:r>
    </w:p>
    <w:p w:rsidR="00000000" w:rsidDel="00000000" w:rsidP="00000000" w:rsidRDefault="00000000" w:rsidRPr="00000000" w14:paraId="00000154">
      <w:pPr>
        <w:spacing w:line="410.4" w:lineRule="auto"/>
        <w:ind w:lef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Note. N </w:t>
      </w:r>
      <w:r w:rsidDel="00000000" w:rsidR="00000000" w:rsidRPr="00000000">
        <w:rPr>
          <w:rFonts w:ascii="Times New Roman" w:cs="Times New Roman" w:eastAsia="Times New Roman" w:hAnsi="Times New Roman"/>
          <w:sz w:val="24"/>
          <w:szCs w:val="24"/>
          <w:rtl w:val="0"/>
        </w:rPr>
        <w:t xml:space="preserve">= 203. Bootstrap sample size = 5,000. Bias-corrected confidence intervals that do not include zero indicate significant mediation. *** </w:t>
      </w:r>
      <w:r w:rsidDel="00000000" w:rsidR="00000000" w:rsidRPr="00000000">
        <w:rPr>
          <w:rFonts w:ascii="Times New Roman" w:cs="Times New Roman" w:eastAsia="Times New Roman" w:hAnsi="Times New Roman"/>
          <w:i w:val="1"/>
          <w:iCs w:val="1"/>
          <w:sz w:val="24"/>
          <w:szCs w:val="24"/>
          <w:rtl w:val="0"/>
        </w:rPr>
        <w:t xml:space="preserve">p </w:t>
      </w:r>
      <w:r w:rsidDel="00000000" w:rsidR="00000000" w:rsidRPr="00000000">
        <w:rPr>
          <w:rFonts w:ascii="Times New Roman" w:cs="Times New Roman" w:eastAsia="Times New Roman" w:hAnsi="Times New Roman"/>
          <w:sz w:val="24"/>
          <w:szCs w:val="24"/>
          <w:rtl w:val="0"/>
        </w:rPr>
        <w:t xml:space="preserve">&lt; .001.</w:t>
      </w:r>
    </w:p>
    <w:p w:rsidR="00000000" w:rsidDel="00000000" w:rsidP="00000000" w:rsidRDefault="00000000" w:rsidRPr="00000000" w14:paraId="00000155">
      <w:pPr>
        <w:pStyle w:val="Heading1"/>
        <w:keepNext w:val="0"/>
        <w:keepLines w:val="0"/>
        <w:spacing w:after="0" w:before="0" w:lineRule="auto"/>
        <w:rPr>
          <w:rFonts w:ascii="Times New Roman" w:cs="Times New Roman" w:eastAsia="Times New Roman" w:hAnsi="Times New Roman"/>
          <w:b w:val="1"/>
          <w:bCs w:val="1"/>
          <w:sz w:val="24"/>
          <w:szCs w:val="24"/>
        </w:rPr>
      </w:pPr>
      <w:bookmarkStart w:colFirst="0" w:colLast="0" w:name="_8hxlh4bo09ol" w:id="22"/>
      <w:bookmarkEnd w:id="22"/>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tl w:val="0"/>
        </w:rPr>
      </w:r>
    </w:p>
    <w:sectPr>
      <w:headerReference r:id="rId18" w:type="default"/>
      <w:headerReference r:id="rId19"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 w:name="Cardo">
    <w:embedRegular w:fontKey="{00000000-0000-0000-0000-000000000000}" r:id="rId1" w:subsetted="0"/>
    <w:embedBold w:fontKey="{00000000-0000-0000-0000-000000000000}" r:id="rId2" w:subsetted="0"/>
    <w:embedItalic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108/jcom-06-2022-0073" TargetMode="External"/><Relationship Id="rId10" Type="http://schemas.openxmlformats.org/officeDocument/2006/relationships/hyperlink" Target="https://doi.org/10.1108/jcom-06-2022-0073" TargetMode="External"/><Relationship Id="rId13" Type="http://schemas.openxmlformats.org/officeDocument/2006/relationships/hyperlink" Target="https://doi.org/10.1002/fsn3.1056" TargetMode="External"/><Relationship Id="rId12" Type="http://schemas.openxmlformats.org/officeDocument/2006/relationships/hyperlink" Target="https://doi.org/10.1002/fsn3.105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1037/apl0000484" TargetMode="External"/><Relationship Id="rId15" Type="http://schemas.openxmlformats.org/officeDocument/2006/relationships/hyperlink" Target="https://doi.org/10.1037/0021-9010.88.5.879" TargetMode="External"/><Relationship Id="rId14" Type="http://schemas.openxmlformats.org/officeDocument/2006/relationships/hyperlink" Target="https://doi.org/10.1037/0021-9010.88.5.879" TargetMode="External"/><Relationship Id="rId17" Type="http://schemas.openxmlformats.org/officeDocument/2006/relationships/hyperlink" Target="https://www.bls.gov/ooh/farming-fishing-and-forestry/agricultural-workers.htm" TargetMode="External"/><Relationship Id="rId16" Type="http://schemas.openxmlformats.org/officeDocument/2006/relationships/hyperlink" Target="https://www.bls.gov/ooh/farming-fishing-and-forestry/agricultural-workers.htm"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hyperlink" Target="https://doi.org/10.1177/0149206314522301" TargetMode="External"/><Relationship Id="rId18" Type="http://schemas.openxmlformats.org/officeDocument/2006/relationships/header" Target="header1.xml"/><Relationship Id="rId7" Type="http://schemas.openxmlformats.org/officeDocument/2006/relationships/hyperlink" Target="https://doi.org/10.1177/0149206314522301" TargetMode="External"/><Relationship Id="rId8" Type="http://schemas.openxmlformats.org/officeDocument/2006/relationships/hyperlink" Target="https://doi.org/10.1037/apl000048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