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8BA5" w14:textId="4C6D0D75" w:rsidR="000F0796" w:rsidRPr="000F0796" w:rsidRDefault="000F0796" w:rsidP="000F0796">
      <w:pPr>
        <w:pBdr>
          <w:bottom w:val="single" w:sz="12" w:space="1" w:color="auto"/>
        </w:pBdr>
        <w:spacing w:after="0" w:line="240" w:lineRule="auto"/>
        <w:contextualSpacing/>
        <w:jc w:val="both"/>
        <w:rPr>
          <w:rFonts w:ascii="Times New Roman" w:hAnsi="Times New Roman" w:cs="Times New Roman"/>
          <w:b/>
          <w:bCs/>
        </w:rPr>
      </w:pPr>
      <w:r w:rsidRPr="000F0796">
        <w:rPr>
          <w:rFonts w:ascii="Times New Roman" w:hAnsi="Times New Roman" w:cs="Times New Roman"/>
          <w:b/>
          <w:bCs/>
        </w:rPr>
        <w:t>Research Paper</w:t>
      </w:r>
    </w:p>
    <w:p w14:paraId="39FDDD6C" w14:textId="77777777" w:rsidR="00B6702C" w:rsidRPr="000F0796" w:rsidRDefault="00B6702C" w:rsidP="000F0796">
      <w:pPr>
        <w:spacing w:after="0" w:line="240" w:lineRule="auto"/>
        <w:contextualSpacing/>
        <w:jc w:val="both"/>
        <w:rPr>
          <w:rFonts w:ascii="Times New Roman" w:hAnsi="Times New Roman" w:cs="Times New Roman"/>
          <w:b/>
          <w:bCs/>
          <w:sz w:val="28"/>
          <w:szCs w:val="28"/>
        </w:rPr>
      </w:pPr>
    </w:p>
    <w:p w14:paraId="420F2C90" w14:textId="64519860" w:rsidR="00DB1D6D" w:rsidRPr="000F0796" w:rsidRDefault="00DB1D6D" w:rsidP="000F0796">
      <w:pPr>
        <w:spacing w:after="0" w:line="240" w:lineRule="auto"/>
        <w:contextualSpacing/>
        <w:jc w:val="both"/>
        <w:rPr>
          <w:rFonts w:ascii="Times New Roman" w:hAnsi="Times New Roman" w:cs="Times New Roman"/>
          <w:b/>
          <w:bCs/>
        </w:rPr>
      </w:pPr>
      <w:r w:rsidRPr="000F0796">
        <w:rPr>
          <w:rFonts w:ascii="Times New Roman" w:hAnsi="Times New Roman" w:cs="Times New Roman"/>
          <w:b/>
          <w:bCs/>
        </w:rPr>
        <w:t>Comparison of Worker Safety Across Industries in California</w:t>
      </w:r>
    </w:p>
    <w:p w14:paraId="556632A7" w14:textId="7DC446A7" w:rsidR="000F0796" w:rsidRPr="000F0796" w:rsidRDefault="000F0796" w:rsidP="000F0796">
      <w:pPr>
        <w:spacing w:after="0" w:line="240" w:lineRule="auto"/>
        <w:contextualSpacing/>
        <w:jc w:val="both"/>
        <w:rPr>
          <w:rFonts w:ascii="Times New Roman" w:hAnsi="Times New Roman" w:cs="Times New Roman"/>
          <w:i/>
          <w:iCs/>
        </w:rPr>
      </w:pPr>
      <w:r w:rsidRPr="000F0796">
        <w:rPr>
          <w:rFonts w:ascii="Times New Roman" w:hAnsi="Times New Roman" w:cs="Times New Roman"/>
          <w:i/>
          <w:iCs/>
        </w:rPr>
        <w:t>By Dr. John Deal</w:t>
      </w:r>
      <w:r>
        <w:rPr>
          <w:rStyle w:val="FootnoteReference"/>
          <w:rFonts w:ascii="Times New Roman" w:hAnsi="Times New Roman" w:cs="Times New Roman"/>
          <w:i/>
          <w:iCs/>
        </w:rPr>
        <w:footnoteReference w:id="1"/>
      </w:r>
      <w:r w:rsidRPr="000F0796">
        <w:rPr>
          <w:rFonts w:ascii="Times New Roman" w:hAnsi="Times New Roman" w:cs="Times New Roman"/>
          <w:i/>
          <w:iCs/>
        </w:rPr>
        <w:t>, Economics, CSUB</w:t>
      </w:r>
    </w:p>
    <w:p w14:paraId="62848EB5" w14:textId="77777777" w:rsidR="000F0796" w:rsidRPr="000F0796" w:rsidRDefault="000F0796" w:rsidP="000F0796">
      <w:pPr>
        <w:spacing w:after="0" w:line="240" w:lineRule="auto"/>
        <w:contextualSpacing/>
        <w:jc w:val="both"/>
        <w:rPr>
          <w:rFonts w:ascii="Times New Roman" w:hAnsi="Times New Roman" w:cs="Times New Roman"/>
          <w:i/>
          <w:iCs/>
          <w:sz w:val="28"/>
          <w:szCs w:val="28"/>
        </w:rPr>
      </w:pPr>
    </w:p>
    <w:p w14:paraId="22F656D0" w14:textId="0D6D3A2D" w:rsidR="00DB1D6D" w:rsidRDefault="005B1C6A" w:rsidP="000F0796">
      <w:pPr>
        <w:spacing w:after="0" w:line="240" w:lineRule="auto"/>
        <w:contextualSpacing/>
        <w:jc w:val="both"/>
        <w:rPr>
          <w:rFonts w:ascii="Times New Roman" w:hAnsi="Times New Roman" w:cs="Times New Roman"/>
        </w:rPr>
      </w:pPr>
      <w:r w:rsidRPr="005B1C6A">
        <w:rPr>
          <w:rFonts w:ascii="Times New Roman" w:hAnsi="Times New Roman" w:cs="Times New Roman"/>
        </w:rPr>
        <w:t xml:space="preserve">Workplace safety remains a critical concern across industries in California, a state with one of the largest and most diverse labor forces in the United States. </w:t>
      </w:r>
      <w:r w:rsidR="001246EF">
        <w:rPr>
          <w:rFonts w:ascii="Times New Roman" w:hAnsi="Times New Roman" w:cs="Times New Roman"/>
        </w:rPr>
        <w:t>Injury rates differ substantially across industries, but the agriculture and construction industries often exhibit the highest rates of fatal and nonfatal injuries. Although these industries make up a relatively small percentage of total employment in the state, with agriculture accounting for 2.2-2.4% and construction accounting for 4.8-5% of employment (compared to approximately 6.8% for manufacturing), the</w:t>
      </w:r>
      <w:r w:rsidR="009C1A60">
        <w:rPr>
          <w:rFonts w:ascii="Times New Roman" w:hAnsi="Times New Roman" w:cs="Times New Roman"/>
        </w:rPr>
        <w:t>se</w:t>
      </w:r>
      <w:r w:rsidR="001246EF">
        <w:rPr>
          <w:rFonts w:ascii="Times New Roman" w:hAnsi="Times New Roman" w:cs="Times New Roman"/>
        </w:rPr>
        <w:t xml:space="preserve"> industries often</w:t>
      </w:r>
      <w:r w:rsidR="009C1A60">
        <w:rPr>
          <w:rFonts w:ascii="Times New Roman" w:hAnsi="Times New Roman" w:cs="Times New Roman"/>
        </w:rPr>
        <w:t xml:space="preserve"> employ</w:t>
      </w:r>
      <w:r w:rsidR="001246EF">
        <w:rPr>
          <w:rFonts w:ascii="Times New Roman" w:hAnsi="Times New Roman" w:cs="Times New Roman"/>
        </w:rPr>
        <w:t xml:space="preserve"> vulnerable workers, including immigrants and those with low</w:t>
      </w:r>
      <w:r w:rsidR="000A5E89">
        <w:rPr>
          <w:rFonts w:ascii="Times New Roman" w:hAnsi="Times New Roman" w:cs="Times New Roman"/>
        </w:rPr>
        <w:t>er</w:t>
      </w:r>
      <w:r w:rsidR="001246EF">
        <w:rPr>
          <w:rFonts w:ascii="Times New Roman" w:hAnsi="Times New Roman" w:cs="Times New Roman"/>
        </w:rPr>
        <w:t xml:space="preserve"> education levels</w:t>
      </w:r>
      <w:r w:rsidR="00071064">
        <w:rPr>
          <w:rFonts w:ascii="Times New Roman" w:hAnsi="Times New Roman" w:cs="Times New Roman"/>
        </w:rPr>
        <w:t xml:space="preserve"> (EDD)</w:t>
      </w:r>
      <w:r w:rsidR="001246EF">
        <w:rPr>
          <w:rFonts w:ascii="Times New Roman" w:hAnsi="Times New Roman" w:cs="Times New Roman"/>
        </w:rPr>
        <w:t xml:space="preserve">. </w:t>
      </w:r>
      <w:r w:rsidRPr="005B1C6A">
        <w:rPr>
          <w:rFonts w:ascii="Times New Roman" w:hAnsi="Times New Roman" w:cs="Times New Roman"/>
        </w:rPr>
        <w:t xml:space="preserve">Each industry presents unique hazards that shape patterns of injury and fatality, requiring </w:t>
      </w:r>
      <w:r w:rsidR="00CB1826">
        <w:rPr>
          <w:rFonts w:ascii="Times New Roman" w:hAnsi="Times New Roman" w:cs="Times New Roman"/>
        </w:rPr>
        <w:t>industry-specific regulatory approache</w:t>
      </w:r>
      <w:r w:rsidR="007D4634">
        <w:rPr>
          <w:rFonts w:ascii="Times New Roman" w:hAnsi="Times New Roman" w:cs="Times New Roman"/>
        </w:rPr>
        <w:t>s</w:t>
      </w:r>
      <w:r w:rsidR="00CB1826">
        <w:rPr>
          <w:rFonts w:ascii="Times New Roman" w:hAnsi="Times New Roman" w:cs="Times New Roman"/>
        </w:rPr>
        <w:t xml:space="preserve"> and </w:t>
      </w:r>
      <w:r w:rsidRPr="005B1C6A">
        <w:rPr>
          <w:rFonts w:ascii="Times New Roman" w:hAnsi="Times New Roman" w:cs="Times New Roman"/>
        </w:rPr>
        <w:t>prevention strategies.</w:t>
      </w:r>
      <w:r w:rsidR="00964AD9">
        <w:rPr>
          <w:rFonts w:ascii="Times New Roman" w:hAnsi="Times New Roman" w:cs="Times New Roman"/>
        </w:rPr>
        <w:t xml:space="preserve"> </w:t>
      </w:r>
    </w:p>
    <w:p w14:paraId="15EF2DB0" w14:textId="77777777" w:rsidR="000F0796" w:rsidRDefault="000F0796" w:rsidP="000F0796">
      <w:pPr>
        <w:spacing w:after="0" w:line="240" w:lineRule="auto"/>
        <w:contextualSpacing/>
        <w:jc w:val="both"/>
        <w:rPr>
          <w:rFonts w:ascii="Times New Roman" w:hAnsi="Times New Roman" w:cs="Times New Roman"/>
        </w:rPr>
      </w:pPr>
    </w:p>
    <w:p w14:paraId="4E7859DA" w14:textId="1263B3A3" w:rsidR="002C1DE4" w:rsidRDefault="001F7B5E" w:rsidP="000F0796">
      <w:pPr>
        <w:spacing w:after="0" w:line="240" w:lineRule="auto"/>
        <w:contextualSpacing/>
        <w:jc w:val="both"/>
        <w:rPr>
          <w:rFonts w:ascii="Times New Roman" w:hAnsi="Times New Roman" w:cs="Times New Roman"/>
        </w:rPr>
      </w:pPr>
      <w:r>
        <w:rPr>
          <w:rFonts w:ascii="Times New Roman" w:hAnsi="Times New Roman" w:cs="Times New Roman"/>
        </w:rPr>
        <w:t xml:space="preserve">A comparison of data indicates that agriculture suffers a higher rate of nonfatal injuries, while construction suffers a higher rate of fatal injuries. </w:t>
      </w:r>
      <w:r w:rsidR="00ED4EE6">
        <w:rPr>
          <w:rFonts w:ascii="Times New Roman" w:hAnsi="Times New Roman" w:cs="Times New Roman"/>
        </w:rPr>
        <w:t xml:space="preserve">Out of 439 total workplace fatalities </w:t>
      </w:r>
      <w:r w:rsidR="00670F32">
        <w:rPr>
          <w:rFonts w:ascii="Times New Roman" w:hAnsi="Times New Roman" w:cs="Times New Roman"/>
        </w:rPr>
        <w:t>i</w:t>
      </w:r>
      <w:r w:rsidR="002C1DE4">
        <w:rPr>
          <w:rFonts w:ascii="Times New Roman" w:hAnsi="Times New Roman" w:cs="Times New Roman"/>
        </w:rPr>
        <w:t>n 2023, 45 fatal injuries occurred in the agriculture industry, while the construction industry suffered 78 fatalities and the manufacturing industry suffered 21 fatalities. In the agriculture industry, 12 fatalities were caused by transportation accidents and 8 were caused by hazardous material handling. In the construction industry, 34 fatalities were caused by falls and 18 were caused by hazardous material handling</w:t>
      </w:r>
      <w:r w:rsidR="00B079B7">
        <w:rPr>
          <w:rFonts w:ascii="Times New Roman" w:hAnsi="Times New Roman" w:cs="Times New Roman"/>
        </w:rPr>
        <w:t xml:space="preserve"> (BLS).</w:t>
      </w:r>
      <w:r w:rsidR="002C1DE4">
        <w:rPr>
          <w:rFonts w:ascii="Times New Roman" w:hAnsi="Times New Roman" w:cs="Times New Roman"/>
        </w:rPr>
        <w:t xml:space="preserve"> </w:t>
      </w:r>
      <w:r w:rsidR="00DD71C3">
        <w:rPr>
          <w:rFonts w:ascii="Times New Roman" w:hAnsi="Times New Roman" w:cs="Times New Roman"/>
        </w:rPr>
        <w:t xml:space="preserve">While the average </w:t>
      </w:r>
      <w:r w:rsidR="00E646A6">
        <w:rPr>
          <w:rFonts w:ascii="Times New Roman" w:hAnsi="Times New Roman" w:cs="Times New Roman"/>
        </w:rPr>
        <w:t>incidence of nonfatal injuries in the private sector was 2.7 per 100 workers, n</w:t>
      </w:r>
      <w:r w:rsidR="002C1DE4">
        <w:rPr>
          <w:rFonts w:ascii="Times New Roman" w:hAnsi="Times New Roman" w:cs="Times New Roman"/>
        </w:rPr>
        <w:t>onfatal injuries were much higher in the agriculture industry (4.6 per 100 workers)</w:t>
      </w:r>
      <w:r w:rsidR="00E646A6">
        <w:rPr>
          <w:rFonts w:ascii="Times New Roman" w:hAnsi="Times New Roman" w:cs="Times New Roman"/>
        </w:rPr>
        <w:t>, though</w:t>
      </w:r>
      <w:r w:rsidR="002C1DE4">
        <w:rPr>
          <w:rFonts w:ascii="Times New Roman" w:hAnsi="Times New Roman" w:cs="Times New Roman"/>
        </w:rPr>
        <w:t xml:space="preserve"> construction (3</w:t>
      </w:r>
      <w:r w:rsidR="00E646A6">
        <w:rPr>
          <w:rFonts w:ascii="Times New Roman" w:hAnsi="Times New Roman" w:cs="Times New Roman"/>
        </w:rPr>
        <w:t>.0</w:t>
      </w:r>
      <w:r w:rsidR="002C1DE4">
        <w:rPr>
          <w:rFonts w:ascii="Times New Roman" w:hAnsi="Times New Roman" w:cs="Times New Roman"/>
        </w:rPr>
        <w:t>) and manufacturing (2.5)</w:t>
      </w:r>
      <w:r w:rsidR="00E646A6">
        <w:rPr>
          <w:rFonts w:ascii="Times New Roman" w:hAnsi="Times New Roman" w:cs="Times New Roman"/>
        </w:rPr>
        <w:t xml:space="preserve"> were close to the private sector average</w:t>
      </w:r>
      <w:r w:rsidR="002C1DE4">
        <w:rPr>
          <w:rFonts w:ascii="Times New Roman" w:hAnsi="Times New Roman" w:cs="Times New Roman"/>
        </w:rPr>
        <w:t xml:space="preserve">. Within the agriculture industry, crop production (4.9 per 100 workers) and animal husbandry (5.9) suffered more nonfatal injuries than the </w:t>
      </w:r>
      <w:r w:rsidR="00E646A6">
        <w:rPr>
          <w:rFonts w:ascii="Times New Roman" w:hAnsi="Times New Roman" w:cs="Times New Roman"/>
        </w:rPr>
        <w:t xml:space="preserve">agriculture </w:t>
      </w:r>
      <w:r w:rsidR="002C1DE4">
        <w:rPr>
          <w:rFonts w:ascii="Times New Roman" w:hAnsi="Times New Roman" w:cs="Times New Roman"/>
        </w:rPr>
        <w:t>industry average</w:t>
      </w:r>
      <w:r w:rsidR="00C24C05">
        <w:rPr>
          <w:rFonts w:ascii="Times New Roman" w:hAnsi="Times New Roman" w:cs="Times New Roman"/>
        </w:rPr>
        <w:t xml:space="preserve"> (Cal DIR).</w:t>
      </w:r>
    </w:p>
    <w:p w14:paraId="26F87B1A" w14:textId="77777777" w:rsidR="000F0796" w:rsidRDefault="000F0796" w:rsidP="000F0796">
      <w:pPr>
        <w:spacing w:after="0" w:line="240" w:lineRule="auto"/>
        <w:contextualSpacing/>
        <w:jc w:val="both"/>
        <w:rPr>
          <w:rFonts w:ascii="Times New Roman" w:hAnsi="Times New Roman" w:cs="Times New Roman"/>
        </w:rPr>
      </w:pPr>
    </w:p>
    <w:p w14:paraId="5413E32A" w14:textId="13B878A1" w:rsidR="00071064" w:rsidRDefault="007D4634" w:rsidP="000F0796">
      <w:pPr>
        <w:spacing w:after="0" w:line="240" w:lineRule="auto"/>
        <w:contextualSpacing/>
        <w:jc w:val="both"/>
        <w:rPr>
          <w:rFonts w:ascii="Times New Roman" w:hAnsi="Times New Roman" w:cs="Times New Roman"/>
        </w:rPr>
      </w:pPr>
      <w:r>
        <w:rPr>
          <w:rFonts w:ascii="Times New Roman" w:hAnsi="Times New Roman" w:cs="Times New Roman"/>
        </w:rPr>
        <w:t>Although there are several common sources of workplace injury (e.g., overexertion and musculoskeletal injuries; slips, trip</w:t>
      </w:r>
      <w:r w:rsidR="00D77242">
        <w:rPr>
          <w:rFonts w:ascii="Times New Roman" w:hAnsi="Times New Roman" w:cs="Times New Roman"/>
        </w:rPr>
        <w:t>s</w:t>
      </w:r>
      <w:r>
        <w:rPr>
          <w:rFonts w:ascii="Times New Roman" w:hAnsi="Times New Roman" w:cs="Times New Roman"/>
        </w:rPr>
        <w:t xml:space="preserve">, and falls), many sources of injury vary in importance by industry. </w:t>
      </w:r>
      <w:r w:rsidR="00E02F47" w:rsidRPr="00CB1826">
        <w:rPr>
          <w:rFonts w:ascii="Times New Roman" w:hAnsi="Times New Roman" w:cs="Times New Roman"/>
        </w:rPr>
        <w:t xml:space="preserve">In the </w:t>
      </w:r>
      <w:r w:rsidR="00E02F47" w:rsidRPr="00E02F47">
        <w:rPr>
          <w:rFonts w:ascii="Times New Roman" w:hAnsi="Times New Roman" w:cs="Times New Roman"/>
        </w:rPr>
        <w:t>agriculture sector</w:t>
      </w:r>
      <w:r w:rsidR="00E02F47" w:rsidRPr="00CB1826">
        <w:rPr>
          <w:rFonts w:ascii="Times New Roman" w:hAnsi="Times New Roman" w:cs="Times New Roman"/>
        </w:rPr>
        <w:t>, injury rates are among the highest relative to hours worked</w:t>
      </w:r>
      <w:r w:rsidR="00E02F47">
        <w:rPr>
          <w:rFonts w:ascii="Times New Roman" w:hAnsi="Times New Roman" w:cs="Times New Roman"/>
        </w:rPr>
        <w:t xml:space="preserve">, with </w:t>
      </w:r>
      <w:r w:rsidR="00D77242">
        <w:rPr>
          <w:rFonts w:ascii="Times New Roman" w:hAnsi="Times New Roman" w:cs="Times New Roman"/>
        </w:rPr>
        <w:t xml:space="preserve">primary sources of injury </w:t>
      </w:r>
      <w:r w:rsidR="00E02F47">
        <w:rPr>
          <w:rFonts w:ascii="Times New Roman" w:hAnsi="Times New Roman" w:cs="Times New Roman"/>
        </w:rPr>
        <w:t>being</w:t>
      </w:r>
      <w:r w:rsidR="00D77242" w:rsidRPr="00D77242">
        <w:rPr>
          <w:rFonts w:ascii="Times New Roman" w:hAnsi="Times New Roman" w:cs="Times New Roman"/>
        </w:rPr>
        <w:t xml:space="preserve"> machinery accidents, heat illness, and exposure to pesticides. </w:t>
      </w:r>
      <w:r w:rsidR="00D77242">
        <w:rPr>
          <w:rFonts w:ascii="Times New Roman" w:hAnsi="Times New Roman" w:cs="Times New Roman"/>
        </w:rPr>
        <w:t>Primary c</w:t>
      </w:r>
      <w:r w:rsidR="00D77242" w:rsidRPr="00D77242">
        <w:rPr>
          <w:rFonts w:ascii="Times New Roman" w:hAnsi="Times New Roman" w:cs="Times New Roman"/>
        </w:rPr>
        <w:t>onstruction hazards include falls from heights, equipment accidents, and unstable work surfaces.</w:t>
      </w:r>
      <w:r w:rsidR="00D77242">
        <w:rPr>
          <w:rFonts w:ascii="Times New Roman" w:hAnsi="Times New Roman" w:cs="Times New Roman"/>
        </w:rPr>
        <w:t xml:space="preserve"> </w:t>
      </w:r>
      <w:r w:rsidR="00D77242" w:rsidRPr="00D77242">
        <w:rPr>
          <w:rFonts w:ascii="Times New Roman" w:hAnsi="Times New Roman" w:cs="Times New Roman"/>
        </w:rPr>
        <w:t xml:space="preserve">Manufacturing workers face hazards related to repetitive strain, machinery entanglement, and ergonomic stressors. </w:t>
      </w:r>
      <w:r w:rsidR="00CB1826" w:rsidRPr="00CB1826">
        <w:rPr>
          <w:rFonts w:ascii="Times New Roman" w:hAnsi="Times New Roman" w:cs="Times New Roman"/>
        </w:rPr>
        <w:t>Across these sectors, the sources of injury reflect a combination of environmental exposure, task-specific hazards, and the intensity of physical work unique to each industry.</w:t>
      </w:r>
      <w:r w:rsidR="00071064">
        <w:rPr>
          <w:rFonts w:ascii="Times New Roman" w:hAnsi="Times New Roman" w:cs="Times New Roman"/>
        </w:rPr>
        <w:t xml:space="preserve"> </w:t>
      </w:r>
    </w:p>
    <w:p w14:paraId="3A6F3AB9" w14:textId="77777777" w:rsidR="000F0796" w:rsidRDefault="000F0796" w:rsidP="000F0796">
      <w:pPr>
        <w:spacing w:after="0" w:line="240" w:lineRule="auto"/>
        <w:contextualSpacing/>
        <w:jc w:val="both"/>
        <w:rPr>
          <w:rFonts w:ascii="Times New Roman" w:hAnsi="Times New Roman" w:cs="Times New Roman"/>
        </w:rPr>
      </w:pPr>
    </w:p>
    <w:p w14:paraId="0F6B9DD1" w14:textId="25975A48" w:rsidR="003C2EC4" w:rsidRPr="00CB1826" w:rsidRDefault="00071064" w:rsidP="000F0796">
      <w:pPr>
        <w:spacing w:after="0" w:line="240" w:lineRule="auto"/>
        <w:contextualSpacing/>
        <w:jc w:val="both"/>
        <w:rPr>
          <w:rFonts w:ascii="Times New Roman" w:hAnsi="Times New Roman" w:cs="Times New Roman"/>
        </w:rPr>
      </w:pPr>
      <w:r>
        <w:rPr>
          <w:rFonts w:ascii="Times New Roman" w:hAnsi="Times New Roman" w:cs="Times New Roman"/>
        </w:rPr>
        <w:t xml:space="preserve">Workplace safety is regulated both at the state and federal level. </w:t>
      </w:r>
      <w:r w:rsidR="003C2EC4" w:rsidRPr="00CB1826">
        <w:rPr>
          <w:rFonts w:ascii="Times New Roman" w:hAnsi="Times New Roman" w:cs="Times New Roman"/>
        </w:rPr>
        <w:t>Federal OSHA and California’s Cal/OSHA both aim to protect workers in agriculture, manufacturing, and construction, but they differ in scope and stringency. Federally, OSHA sets baseline safety and health standards under the O</w:t>
      </w:r>
      <w:r w:rsidR="003C2EC4">
        <w:rPr>
          <w:rFonts w:ascii="Times New Roman" w:hAnsi="Times New Roman" w:cs="Times New Roman"/>
        </w:rPr>
        <w:t xml:space="preserve">ccupational Safety and Health </w:t>
      </w:r>
      <w:r w:rsidR="003C2EC4" w:rsidRPr="00CB1826">
        <w:rPr>
          <w:rFonts w:ascii="Times New Roman" w:hAnsi="Times New Roman" w:cs="Times New Roman"/>
        </w:rPr>
        <w:t xml:space="preserve">Act, with specific regulatory parts for </w:t>
      </w:r>
      <w:r w:rsidR="003C2EC4" w:rsidRPr="00FC4A3E">
        <w:rPr>
          <w:rFonts w:ascii="Times New Roman" w:hAnsi="Times New Roman" w:cs="Times New Roman"/>
        </w:rPr>
        <w:t>agriculture (29 CFR 1928), construction (29 CFR 1926), and general industry including manufacturing (29 CFR 1910)</w:t>
      </w:r>
      <w:r w:rsidR="003C2EC4" w:rsidRPr="00CB1826">
        <w:rPr>
          <w:rFonts w:ascii="Times New Roman" w:hAnsi="Times New Roman" w:cs="Times New Roman"/>
        </w:rPr>
        <w:t xml:space="preserve">, covering hazards such as machinery, chemical exposure, falls, trenching, and recordkeeping across </w:t>
      </w:r>
      <w:r w:rsidR="003C2EC4" w:rsidRPr="00CB1826">
        <w:rPr>
          <w:rFonts w:ascii="Times New Roman" w:hAnsi="Times New Roman" w:cs="Times New Roman"/>
        </w:rPr>
        <w:lastRenderedPageBreak/>
        <w:t xml:space="preserve">all states without approved plans. These standards apply broadly and include the General Duty Clause requiring employers to eliminate “recognized hazards.” </w:t>
      </w:r>
      <w:r w:rsidR="003C2EC4">
        <w:rPr>
          <w:rFonts w:ascii="Times New Roman" w:hAnsi="Times New Roman" w:cs="Times New Roman"/>
        </w:rPr>
        <w:t>(OSHA)</w:t>
      </w:r>
    </w:p>
    <w:p w14:paraId="2E9210E0" w14:textId="77777777" w:rsidR="003C2EC4" w:rsidRPr="00CB1826" w:rsidRDefault="003C2EC4" w:rsidP="000F0796">
      <w:pPr>
        <w:spacing w:after="0" w:line="240" w:lineRule="auto"/>
        <w:contextualSpacing/>
        <w:jc w:val="both"/>
        <w:rPr>
          <w:rFonts w:ascii="Times New Roman" w:hAnsi="Times New Roman" w:cs="Times New Roman"/>
        </w:rPr>
      </w:pPr>
      <w:r w:rsidRPr="00CB1826">
        <w:rPr>
          <w:rFonts w:ascii="Times New Roman" w:hAnsi="Times New Roman" w:cs="Times New Roman"/>
        </w:rPr>
        <w:t xml:space="preserve">In California, Cal/OSHA operates its own </w:t>
      </w:r>
      <w:r w:rsidRPr="00FC4A3E">
        <w:rPr>
          <w:rFonts w:ascii="Times New Roman" w:hAnsi="Times New Roman" w:cs="Times New Roman"/>
        </w:rPr>
        <w:t>state plan</w:t>
      </w:r>
      <w:r w:rsidRPr="00CB1826">
        <w:rPr>
          <w:rFonts w:ascii="Times New Roman" w:hAnsi="Times New Roman" w:cs="Times New Roman"/>
        </w:rPr>
        <w:t xml:space="preserve"> approved by federal OSHA and has primary jurisdiction over most workplaces in the state. Cal/OSHA adopts federal standards </w:t>
      </w:r>
      <w:r w:rsidRPr="00CB1826">
        <w:rPr>
          <w:rFonts w:ascii="Times New Roman" w:hAnsi="Times New Roman" w:cs="Times New Roman"/>
          <w:i/>
          <w:iCs/>
        </w:rPr>
        <w:t>and</w:t>
      </w:r>
      <w:r w:rsidRPr="00CB1826">
        <w:rPr>
          <w:rFonts w:ascii="Times New Roman" w:hAnsi="Times New Roman" w:cs="Times New Roman"/>
        </w:rPr>
        <w:t xml:space="preserve"> imposes additional, often stricter rules tailored to California’s workforce and hazards. It has unique standards for agriculture (e.g., heat illness prevention), repetitive motion injuries, and others that federal OSHA does not have, and requires proactive programs like written Injury &amp; Illness Prevention Programs (IIPPs) for all employers. Cal/OSHA’s reporting and recordkeeping duties also apply to smaller employers than federal requirements. </w:t>
      </w:r>
    </w:p>
    <w:p w14:paraId="41DEC4E3" w14:textId="77777777" w:rsidR="000F0796" w:rsidRDefault="000F0796" w:rsidP="000F0796">
      <w:pPr>
        <w:spacing w:after="0" w:line="240" w:lineRule="auto"/>
        <w:contextualSpacing/>
        <w:jc w:val="both"/>
        <w:rPr>
          <w:rFonts w:ascii="Times New Roman" w:hAnsi="Times New Roman" w:cs="Times New Roman"/>
        </w:rPr>
      </w:pPr>
    </w:p>
    <w:p w14:paraId="349E32D3" w14:textId="582C9862" w:rsidR="003C2EC4" w:rsidRPr="00CB1826" w:rsidRDefault="003C2EC4" w:rsidP="000F0796">
      <w:pPr>
        <w:spacing w:after="0" w:line="240" w:lineRule="auto"/>
        <w:contextualSpacing/>
        <w:jc w:val="both"/>
        <w:rPr>
          <w:rFonts w:ascii="Times New Roman" w:hAnsi="Times New Roman" w:cs="Times New Roman"/>
        </w:rPr>
      </w:pPr>
      <w:r w:rsidRPr="00CB1826">
        <w:rPr>
          <w:rFonts w:ascii="Times New Roman" w:hAnsi="Times New Roman" w:cs="Times New Roman"/>
        </w:rPr>
        <w:t xml:space="preserve">Across </w:t>
      </w:r>
      <w:r w:rsidRPr="00FC4A3E">
        <w:rPr>
          <w:rFonts w:ascii="Times New Roman" w:hAnsi="Times New Roman" w:cs="Times New Roman"/>
        </w:rPr>
        <w:t>agriculture</w:t>
      </w:r>
      <w:r w:rsidRPr="00CB1826">
        <w:rPr>
          <w:rFonts w:ascii="Times New Roman" w:hAnsi="Times New Roman" w:cs="Times New Roman"/>
        </w:rPr>
        <w:t xml:space="preserve">, Cal/OSHA may mandate protections beyond federal crop operation basics (like heat rules) to better respond to state conditions, while federal OSHA offers general hazard guidance nationwide. In </w:t>
      </w:r>
      <w:r w:rsidRPr="00FC4A3E">
        <w:rPr>
          <w:rFonts w:ascii="Times New Roman" w:hAnsi="Times New Roman" w:cs="Times New Roman"/>
        </w:rPr>
        <w:t>manufacturing</w:t>
      </w:r>
      <w:r w:rsidRPr="00CB1826">
        <w:rPr>
          <w:rFonts w:ascii="Times New Roman" w:hAnsi="Times New Roman" w:cs="Times New Roman"/>
        </w:rPr>
        <w:t xml:space="preserve">, both authorities require machine guarding and hazard communication, but Cal/OSHA’s exposure limits and documentation can be more prescriptive. For </w:t>
      </w:r>
      <w:r w:rsidRPr="00FC4A3E">
        <w:rPr>
          <w:rFonts w:ascii="Times New Roman" w:hAnsi="Times New Roman" w:cs="Times New Roman"/>
        </w:rPr>
        <w:t>construction</w:t>
      </w:r>
      <w:r w:rsidRPr="00CB1826">
        <w:rPr>
          <w:rFonts w:ascii="Times New Roman" w:hAnsi="Times New Roman" w:cs="Times New Roman"/>
        </w:rPr>
        <w:t xml:space="preserve">, federal OSHA’s fall protection and excavation standards set the baseline, yet Cal/OSHA often enforces more exacting practices (e.g., specific fall thresholds and training documentation). Overall, Cal/OSHA’s requirements generally </w:t>
      </w:r>
      <w:r w:rsidRPr="00CB1826">
        <w:rPr>
          <w:rFonts w:ascii="Times New Roman" w:hAnsi="Times New Roman" w:cs="Times New Roman"/>
          <w:i/>
          <w:iCs/>
        </w:rPr>
        <w:t>exceed</w:t>
      </w:r>
      <w:r w:rsidRPr="00CB1826">
        <w:rPr>
          <w:rFonts w:ascii="Times New Roman" w:hAnsi="Times New Roman" w:cs="Times New Roman"/>
        </w:rPr>
        <w:t xml:space="preserve"> federal minim</w:t>
      </w:r>
      <w:r w:rsidR="009A06F3">
        <w:rPr>
          <w:rFonts w:ascii="Times New Roman" w:hAnsi="Times New Roman" w:cs="Times New Roman"/>
        </w:rPr>
        <w:t>um standards</w:t>
      </w:r>
      <w:r w:rsidRPr="00CB1826">
        <w:rPr>
          <w:rFonts w:ascii="Times New Roman" w:hAnsi="Times New Roman" w:cs="Times New Roman"/>
        </w:rPr>
        <w:t>, reflecting California’s emphasis on worker protections tailored to local conditions.</w:t>
      </w:r>
      <w:r>
        <w:rPr>
          <w:rFonts w:ascii="Times New Roman" w:hAnsi="Times New Roman" w:cs="Times New Roman"/>
        </w:rPr>
        <w:t xml:space="preserve"> Although Cal/OSHA standards often exceed federal standards, </w:t>
      </w:r>
      <w:r w:rsidR="00C62A49">
        <w:rPr>
          <w:rFonts w:ascii="Times New Roman" w:hAnsi="Times New Roman" w:cs="Times New Roman"/>
        </w:rPr>
        <w:t xml:space="preserve">their effectiveness is limited by implementation inconsistencies, particularly in the agriculture industry. For example, </w:t>
      </w:r>
      <w:r>
        <w:rPr>
          <w:rFonts w:ascii="Times New Roman" w:hAnsi="Times New Roman" w:cs="Times New Roman"/>
        </w:rPr>
        <w:t xml:space="preserve">research indicates that regulations (even when implemented) do not eliminate heat-related illnesses in agriculture due to incentives for workers to ignore safety precautions due to the work rate nature of their pay (Langer, et al., 2021). </w:t>
      </w:r>
    </w:p>
    <w:p w14:paraId="5B80E291" w14:textId="77777777" w:rsidR="000F0796" w:rsidRDefault="000F0796" w:rsidP="000F0796">
      <w:pPr>
        <w:spacing w:after="0" w:line="240" w:lineRule="auto"/>
        <w:contextualSpacing/>
        <w:jc w:val="both"/>
        <w:rPr>
          <w:rFonts w:ascii="Times New Roman" w:hAnsi="Times New Roman" w:cs="Times New Roman"/>
        </w:rPr>
      </w:pPr>
    </w:p>
    <w:p w14:paraId="58C01EBE" w14:textId="1A3417C7" w:rsidR="0034411A" w:rsidRPr="0034411A" w:rsidRDefault="00827D3A" w:rsidP="000F0796">
      <w:pPr>
        <w:spacing w:after="0" w:line="240" w:lineRule="auto"/>
        <w:contextualSpacing/>
        <w:jc w:val="both"/>
        <w:rPr>
          <w:rFonts w:ascii="Times New Roman" w:hAnsi="Times New Roman" w:cs="Times New Roman"/>
        </w:rPr>
      </w:pPr>
      <w:r>
        <w:rPr>
          <w:rFonts w:ascii="Times New Roman" w:hAnsi="Times New Roman" w:cs="Times New Roman"/>
        </w:rPr>
        <w:t xml:space="preserve">In industries with high injury rates (e.g., agriculture, construction) and substantial regulations, </w:t>
      </w:r>
      <w:r w:rsidR="009174EF">
        <w:rPr>
          <w:rFonts w:ascii="Times New Roman" w:hAnsi="Times New Roman" w:cs="Times New Roman"/>
        </w:rPr>
        <w:t xml:space="preserve">individual worker motivations, workplace cultural norms, and training can often explain the failure </w:t>
      </w:r>
      <w:r w:rsidR="007E5365">
        <w:rPr>
          <w:rFonts w:ascii="Times New Roman" w:hAnsi="Times New Roman" w:cs="Times New Roman"/>
        </w:rPr>
        <w:t xml:space="preserve">to lower injury rates. </w:t>
      </w:r>
      <w:r w:rsidR="00D07BC9" w:rsidRPr="00C63DE1">
        <w:rPr>
          <w:rFonts w:ascii="Times New Roman" w:hAnsi="Times New Roman" w:cs="Times New Roman"/>
        </w:rPr>
        <w:t>Workplace conditions, especially effective training, supervisor emphasis on safety, and supportive peer</w:t>
      </w:r>
      <w:r w:rsidR="00C63DE1">
        <w:rPr>
          <w:rFonts w:ascii="Times New Roman" w:hAnsi="Times New Roman" w:cs="Times New Roman"/>
        </w:rPr>
        <w:t>s</w:t>
      </w:r>
      <w:r w:rsidR="00D07BC9" w:rsidRPr="00C63DE1">
        <w:rPr>
          <w:rFonts w:ascii="Times New Roman" w:hAnsi="Times New Roman" w:cs="Times New Roman"/>
        </w:rPr>
        <w:t xml:space="preserve"> can enhance workers’ motivation to engage in safe </w:t>
      </w:r>
      <w:r w:rsidR="000F5FEE">
        <w:rPr>
          <w:rFonts w:ascii="Times New Roman" w:hAnsi="Times New Roman" w:cs="Times New Roman"/>
        </w:rPr>
        <w:t>behavior (Mull</w:t>
      </w:r>
      <w:r w:rsidR="00C63DE1" w:rsidRPr="00C63DE1">
        <w:rPr>
          <w:rFonts w:ascii="Times New Roman" w:hAnsi="Times New Roman" w:cs="Times New Roman"/>
        </w:rPr>
        <w:t>en</w:t>
      </w:r>
      <w:r w:rsidR="00C63DE1">
        <w:rPr>
          <w:rFonts w:ascii="Times New Roman" w:hAnsi="Times New Roman" w:cs="Times New Roman"/>
        </w:rPr>
        <w:t>, 2004</w:t>
      </w:r>
      <w:r w:rsidR="00C63DE1" w:rsidRPr="00C63DE1">
        <w:rPr>
          <w:rFonts w:ascii="Times New Roman" w:hAnsi="Times New Roman" w:cs="Times New Roman"/>
        </w:rPr>
        <w:t xml:space="preserve">). </w:t>
      </w:r>
      <w:r w:rsidR="0034411A" w:rsidRPr="0034411A">
        <w:rPr>
          <w:rFonts w:ascii="Times New Roman" w:hAnsi="Times New Roman" w:cs="Times New Roman"/>
        </w:rPr>
        <w:t>Management commitment is consistently identified as one of the strongest predictors of compliance. When leaders visibly prioritize safety, allocate resources, and enforce rules consistently, workers are more likely to follow safety procedures (Zohar, 2010</w:t>
      </w:r>
      <w:r w:rsidR="000F5FEE">
        <w:rPr>
          <w:rFonts w:ascii="Times New Roman" w:hAnsi="Times New Roman" w:cs="Times New Roman"/>
        </w:rPr>
        <w:t xml:space="preserve">). </w:t>
      </w:r>
      <w:r w:rsidR="0034411A" w:rsidRPr="0034411A">
        <w:rPr>
          <w:rFonts w:ascii="Times New Roman" w:hAnsi="Times New Roman" w:cs="Times New Roman"/>
        </w:rPr>
        <w:t>Worker perceptions and attitudes influence compliance as well. Employees are more likely to follow rules when they perceive risks as serious and personally relevant (Geller, 2001). Peer norms and safety culture further reinforce behavior; compliance increases when coworkers model safe practices and discourage risky behavior (Neal &amp; Griffin, 2006).</w:t>
      </w:r>
    </w:p>
    <w:p w14:paraId="368B65ED" w14:textId="77777777" w:rsidR="000F0796" w:rsidRDefault="000F0796" w:rsidP="000F0796">
      <w:pPr>
        <w:spacing w:after="0" w:line="240" w:lineRule="auto"/>
        <w:contextualSpacing/>
        <w:jc w:val="both"/>
        <w:rPr>
          <w:rFonts w:ascii="Times New Roman" w:hAnsi="Times New Roman" w:cs="Times New Roman"/>
        </w:rPr>
      </w:pPr>
    </w:p>
    <w:p w14:paraId="27FC26DC" w14:textId="7A80B422" w:rsidR="003C2EC4" w:rsidRDefault="009A06F3" w:rsidP="000F0796">
      <w:pPr>
        <w:spacing w:after="0" w:line="240" w:lineRule="auto"/>
        <w:contextualSpacing/>
        <w:jc w:val="both"/>
        <w:rPr>
          <w:rFonts w:ascii="Times New Roman" w:hAnsi="Times New Roman" w:cs="Times New Roman"/>
        </w:rPr>
      </w:pPr>
      <w:r>
        <w:rPr>
          <w:rFonts w:ascii="Times New Roman" w:hAnsi="Times New Roman" w:cs="Times New Roman"/>
        </w:rPr>
        <w:t>Even with a strongly regulatory framework and vigorous enforcement, workers (and their supervisors) often fail to comply, either consciously or unconsciously. Behavioral nudges are d</w:t>
      </w:r>
      <w:r w:rsidR="0091128F">
        <w:rPr>
          <w:rFonts w:ascii="Times New Roman" w:hAnsi="Times New Roman" w:cs="Times New Roman"/>
        </w:rPr>
        <w:t>es</w:t>
      </w:r>
      <w:r>
        <w:rPr>
          <w:rFonts w:ascii="Times New Roman" w:hAnsi="Times New Roman" w:cs="Times New Roman"/>
        </w:rPr>
        <w:t xml:space="preserve">igned to alter people’s decisions in a predictable way without forbidding any options. For example, firms could raise the default savings rate when onboarding an employee to increase savings rates over time as people tend to fail to adjust rates as their circumstances (e.g., higher income) change (Thaler and </w:t>
      </w:r>
      <w:r w:rsidR="0091128F">
        <w:rPr>
          <w:rFonts w:ascii="Times New Roman" w:hAnsi="Times New Roman" w:cs="Times New Roman"/>
        </w:rPr>
        <w:t>S</w:t>
      </w:r>
      <w:r>
        <w:rPr>
          <w:rFonts w:ascii="Times New Roman" w:hAnsi="Times New Roman" w:cs="Times New Roman"/>
        </w:rPr>
        <w:t>unstein,</w:t>
      </w:r>
      <w:r w:rsidR="0091128F">
        <w:rPr>
          <w:rFonts w:ascii="Times New Roman" w:hAnsi="Times New Roman" w:cs="Times New Roman"/>
        </w:rPr>
        <w:t xml:space="preserve"> 2008)</w:t>
      </w:r>
      <w:r>
        <w:rPr>
          <w:rFonts w:ascii="Times New Roman" w:hAnsi="Times New Roman" w:cs="Times New Roman"/>
        </w:rPr>
        <w:t xml:space="preserve">. </w:t>
      </w:r>
      <w:r w:rsidR="000C7BAA">
        <w:rPr>
          <w:rFonts w:ascii="Times New Roman" w:hAnsi="Times New Roman" w:cs="Times New Roman"/>
        </w:rPr>
        <w:t>Research on safety in agriculture and construction has begun to focus on the application of behavioral nudges</w:t>
      </w:r>
      <w:r w:rsidR="0091128F">
        <w:rPr>
          <w:rFonts w:ascii="Times New Roman" w:hAnsi="Times New Roman" w:cs="Times New Roman"/>
        </w:rPr>
        <w:t xml:space="preserve"> </w:t>
      </w:r>
      <w:r w:rsidR="000C7BAA">
        <w:rPr>
          <w:rFonts w:ascii="Times New Roman" w:hAnsi="Times New Roman" w:cs="Times New Roman"/>
        </w:rPr>
        <w:t xml:space="preserve">to reduce injuries. </w:t>
      </w:r>
      <w:r w:rsidR="0040614B">
        <w:rPr>
          <w:rFonts w:ascii="Times New Roman" w:hAnsi="Times New Roman" w:cs="Times New Roman"/>
        </w:rPr>
        <w:t xml:space="preserve">A social norm intervention (posters indicating that “most workers in your department wear safety gear”) significantly reduced </w:t>
      </w:r>
      <w:r w:rsidR="00667CC2">
        <w:rPr>
          <w:rFonts w:ascii="Times New Roman" w:hAnsi="Times New Roman" w:cs="Times New Roman"/>
        </w:rPr>
        <w:t xml:space="preserve">safety violations, particularly in departments with low initial compliance (Costa, et al., 2024). </w:t>
      </w:r>
      <w:r w:rsidR="008E4D70">
        <w:rPr>
          <w:rFonts w:ascii="Times New Roman" w:hAnsi="Times New Roman" w:cs="Times New Roman"/>
        </w:rPr>
        <w:t xml:space="preserve">Other nudges, such as visual signs to alert dangers, worker safety pledges, </w:t>
      </w:r>
      <w:r w:rsidR="00F30451">
        <w:rPr>
          <w:rFonts w:ascii="Times New Roman" w:hAnsi="Times New Roman" w:cs="Times New Roman"/>
        </w:rPr>
        <w:lastRenderedPageBreak/>
        <w:t xml:space="preserve">and </w:t>
      </w:r>
      <w:r w:rsidR="00F349B8">
        <w:rPr>
          <w:rFonts w:ascii="Times New Roman" w:hAnsi="Times New Roman" w:cs="Times New Roman"/>
        </w:rPr>
        <w:t>presenting safety outcomes in terms of losses instead of gains, have been employed in a variety of different industries (Lindhout and Reniers, 2017).</w:t>
      </w:r>
    </w:p>
    <w:p w14:paraId="7C6CA002" w14:textId="23F26A93" w:rsidR="00CB1826" w:rsidRPr="007E5365" w:rsidRDefault="007E5365" w:rsidP="000F0796">
      <w:pPr>
        <w:spacing w:after="0" w:line="240" w:lineRule="auto"/>
        <w:contextualSpacing/>
        <w:jc w:val="both"/>
        <w:rPr>
          <w:rFonts w:ascii="Times New Roman" w:hAnsi="Times New Roman" w:cs="Times New Roman"/>
          <w:vanish/>
        </w:rPr>
      </w:pPr>
      <w:r w:rsidRPr="007E5365">
        <w:rPr>
          <w:rFonts w:ascii="Times New Roman" w:hAnsi="Times New Roman" w:cs="Times New Roman"/>
        </w:rPr>
        <w:t xml:space="preserve">Workplace safety patterns in California reflect a complex interplay between hazard exposure, injury rates, and regulatory responses. Agriculture and construction show </w:t>
      </w:r>
      <w:r>
        <w:rPr>
          <w:rFonts w:ascii="Times New Roman" w:hAnsi="Times New Roman" w:cs="Times New Roman"/>
        </w:rPr>
        <w:t xml:space="preserve">high rates for both </w:t>
      </w:r>
      <w:r w:rsidRPr="007E5365">
        <w:rPr>
          <w:rFonts w:ascii="Times New Roman" w:hAnsi="Times New Roman" w:cs="Times New Roman"/>
        </w:rPr>
        <w:t xml:space="preserve">fatal </w:t>
      </w:r>
      <w:r>
        <w:rPr>
          <w:rFonts w:ascii="Times New Roman" w:hAnsi="Times New Roman" w:cs="Times New Roman"/>
        </w:rPr>
        <w:t>and nonfatal injuries.</w:t>
      </w:r>
      <w:r w:rsidRPr="007E5365">
        <w:rPr>
          <w:rFonts w:ascii="Times New Roman" w:hAnsi="Times New Roman" w:cs="Times New Roman"/>
        </w:rPr>
        <w:t xml:space="preserve"> California’s regulatory environment—centered on Cal/OSHA and comprehensive safety programs like the IIPP—plays a crucial role in reducing risk, though </w:t>
      </w:r>
      <w:r w:rsidR="00F349B8">
        <w:rPr>
          <w:rFonts w:ascii="Times New Roman" w:hAnsi="Times New Roman" w:cs="Times New Roman"/>
        </w:rPr>
        <w:t xml:space="preserve">worker behavior can offset the impact of the regulations. Further use of </w:t>
      </w:r>
      <w:r>
        <w:rPr>
          <w:rFonts w:ascii="Times New Roman" w:hAnsi="Times New Roman" w:cs="Times New Roman"/>
        </w:rPr>
        <w:t>inventive approaches (e.g.</w:t>
      </w:r>
      <w:r w:rsidR="00F349B8">
        <w:rPr>
          <w:rFonts w:ascii="Times New Roman" w:hAnsi="Times New Roman" w:cs="Times New Roman"/>
        </w:rPr>
        <w:t>,</w:t>
      </w:r>
      <w:r>
        <w:rPr>
          <w:rFonts w:ascii="Times New Roman" w:hAnsi="Times New Roman" w:cs="Times New Roman"/>
        </w:rPr>
        <w:t xml:space="preserve"> behavior-based safety) may </w:t>
      </w:r>
      <w:r w:rsidR="00DA34AE">
        <w:rPr>
          <w:rFonts w:ascii="Times New Roman" w:hAnsi="Times New Roman" w:cs="Times New Roman"/>
        </w:rPr>
        <w:t xml:space="preserve">need to </w:t>
      </w:r>
      <w:r>
        <w:rPr>
          <w:rFonts w:ascii="Times New Roman" w:hAnsi="Times New Roman" w:cs="Times New Roman"/>
        </w:rPr>
        <w:t xml:space="preserve">be employed to further reduce </w:t>
      </w:r>
      <w:r w:rsidRPr="007E5365">
        <w:rPr>
          <w:rFonts w:ascii="Times New Roman" w:hAnsi="Times New Roman" w:cs="Times New Roman"/>
        </w:rPr>
        <w:t>workplace</w:t>
      </w:r>
      <w:r>
        <w:rPr>
          <w:rFonts w:ascii="Times New Roman" w:hAnsi="Times New Roman" w:cs="Times New Roman"/>
        </w:rPr>
        <w:t xml:space="preserve"> injuries.</w:t>
      </w:r>
      <w:r w:rsidR="00C9289F">
        <w:rPr>
          <w:rFonts w:ascii="Times New Roman" w:hAnsi="Times New Roman" w:cs="Times New Roman"/>
        </w:rPr>
        <w:t xml:space="preserve"> </w:t>
      </w:r>
      <w:r w:rsidR="00CB1826" w:rsidRPr="007E5365">
        <w:rPr>
          <w:rFonts w:ascii="Times New Roman" w:hAnsi="Times New Roman" w:cs="Times New Roman"/>
          <w:vanish/>
        </w:rPr>
        <w:t>Top of Form</w:t>
      </w:r>
    </w:p>
    <w:p w14:paraId="6E436E5A" w14:textId="77777777" w:rsidR="00CB1826" w:rsidRPr="007E5365" w:rsidRDefault="00CB1826" w:rsidP="000F0796">
      <w:pPr>
        <w:spacing w:after="0" w:line="240" w:lineRule="auto"/>
        <w:contextualSpacing/>
        <w:jc w:val="both"/>
        <w:rPr>
          <w:rFonts w:ascii="Times New Roman" w:hAnsi="Times New Roman" w:cs="Times New Roman"/>
        </w:rPr>
      </w:pPr>
    </w:p>
    <w:p w14:paraId="2BED55D4" w14:textId="77777777" w:rsidR="00CB1826" w:rsidRPr="007E5365" w:rsidRDefault="00CB1826" w:rsidP="000F0796">
      <w:pPr>
        <w:spacing w:after="0" w:line="240" w:lineRule="auto"/>
        <w:contextualSpacing/>
        <w:jc w:val="both"/>
        <w:rPr>
          <w:rFonts w:ascii="Times New Roman" w:hAnsi="Times New Roman" w:cs="Times New Roman"/>
          <w:vanish/>
        </w:rPr>
      </w:pPr>
      <w:r w:rsidRPr="007E5365">
        <w:rPr>
          <w:rFonts w:ascii="Times New Roman" w:hAnsi="Times New Roman" w:cs="Times New Roman"/>
          <w:vanish/>
        </w:rPr>
        <w:t>Bottom of Form</w:t>
      </w:r>
    </w:p>
    <w:p w14:paraId="288FFD2C" w14:textId="77777777" w:rsidR="00CB1826" w:rsidRPr="007E5365" w:rsidRDefault="00CB1826" w:rsidP="000F0796">
      <w:pPr>
        <w:spacing w:after="0" w:line="240" w:lineRule="auto"/>
        <w:contextualSpacing/>
        <w:jc w:val="both"/>
        <w:rPr>
          <w:rFonts w:ascii="Times New Roman" w:hAnsi="Times New Roman" w:cs="Times New Roman"/>
        </w:rPr>
      </w:pPr>
    </w:p>
    <w:p w14:paraId="79F9D516" w14:textId="51FAB77D" w:rsidR="00CB1826" w:rsidRDefault="00054A74" w:rsidP="000F0796">
      <w:pPr>
        <w:spacing w:after="0" w:line="240" w:lineRule="auto"/>
        <w:contextualSpacing/>
        <w:jc w:val="both"/>
        <w:rPr>
          <w:rFonts w:ascii="Times New Roman" w:hAnsi="Times New Roman" w:cs="Times New Roman"/>
          <w:b/>
          <w:bCs/>
        </w:rPr>
      </w:pPr>
      <w:r>
        <w:rPr>
          <w:rFonts w:ascii="Times New Roman" w:hAnsi="Times New Roman" w:cs="Times New Roman"/>
          <w:b/>
          <w:bCs/>
        </w:rPr>
        <w:t>R</w:t>
      </w:r>
      <w:r w:rsidR="009C1A60" w:rsidRPr="009C1A60">
        <w:rPr>
          <w:rFonts w:ascii="Times New Roman" w:hAnsi="Times New Roman" w:cs="Times New Roman"/>
          <w:b/>
          <w:bCs/>
        </w:rPr>
        <w:t>eferences</w:t>
      </w:r>
    </w:p>
    <w:p w14:paraId="6063B56F" w14:textId="07C0C37C" w:rsidR="00B079B7" w:rsidRDefault="00B079B7" w:rsidP="000F0796">
      <w:pPr>
        <w:spacing w:after="0" w:line="240" w:lineRule="auto"/>
        <w:contextualSpacing/>
        <w:jc w:val="both"/>
        <w:rPr>
          <w:rFonts w:ascii="Times New Roman" w:hAnsi="Times New Roman" w:cs="Times New Roman"/>
        </w:rPr>
      </w:pPr>
      <w:r>
        <w:rPr>
          <w:rFonts w:ascii="Times New Roman" w:hAnsi="Times New Roman" w:cs="Times New Roman"/>
        </w:rPr>
        <w:t>Bureau of Labor Statistics, Table 2. Fatal Occupational Injuries by Industry, California, 2023</w:t>
      </w:r>
      <w:r w:rsidR="00C24C05">
        <w:rPr>
          <w:rFonts w:ascii="Times New Roman" w:hAnsi="Times New Roman" w:cs="Times New Roman"/>
        </w:rPr>
        <w:t>,</w:t>
      </w:r>
      <w:r>
        <w:rPr>
          <w:rFonts w:ascii="Times New Roman" w:hAnsi="Times New Roman" w:cs="Times New Roman"/>
        </w:rPr>
        <w:t xml:space="preserve"> accessed at </w:t>
      </w:r>
      <w:hyperlink r:id="rId7" w:history="1">
        <w:r w:rsidRPr="00B079B7">
          <w:rPr>
            <w:rStyle w:val="Hyperlink"/>
            <w:rFonts w:ascii="Times New Roman" w:hAnsi="Times New Roman" w:cs="Times New Roman"/>
          </w:rPr>
          <w:t>Fatal occupational injuries in California : U.S. Bureau of Labor Statistics</w:t>
        </w:r>
      </w:hyperlink>
    </w:p>
    <w:p w14:paraId="74045522" w14:textId="67BECB55" w:rsidR="00C24C05" w:rsidRDefault="00C24C05" w:rsidP="000F0796">
      <w:pPr>
        <w:spacing w:after="0" w:line="240" w:lineRule="auto"/>
        <w:contextualSpacing/>
        <w:jc w:val="both"/>
        <w:rPr>
          <w:rFonts w:ascii="Times New Roman" w:hAnsi="Times New Roman" w:cs="Times New Roman"/>
        </w:rPr>
      </w:pPr>
      <w:r>
        <w:rPr>
          <w:rFonts w:ascii="Times New Roman" w:hAnsi="Times New Roman" w:cs="Times New Roman"/>
        </w:rPr>
        <w:t xml:space="preserve">California Department of Industrial Relations, Table 4. </w:t>
      </w:r>
      <w:r w:rsidRPr="00C24C05">
        <w:rPr>
          <w:rFonts w:ascii="Times New Roman" w:hAnsi="Times New Roman" w:cs="Times New Roman"/>
        </w:rPr>
        <w:t>Incidence rates and numbers of nonfatal occupational injuries by selected industries</w:t>
      </w:r>
      <w:r>
        <w:rPr>
          <w:rFonts w:ascii="Times New Roman" w:hAnsi="Times New Roman" w:cs="Times New Roman"/>
        </w:rPr>
        <w:t xml:space="preserve">, accessed at </w:t>
      </w:r>
      <w:hyperlink r:id="rId8" w:history="1">
        <w:r w:rsidRPr="00C24C05">
          <w:rPr>
            <w:rStyle w:val="Hyperlink"/>
            <w:rFonts w:ascii="Times New Roman" w:hAnsi="Times New Roman" w:cs="Times New Roman"/>
          </w:rPr>
          <w:t>ODR - 2023 nonfatal occupational injuries and illnesses in California</w:t>
        </w:r>
      </w:hyperlink>
    </w:p>
    <w:p w14:paraId="1C287D0C" w14:textId="77777777" w:rsidR="00667CC2" w:rsidRPr="00F349B8" w:rsidRDefault="00667CC2" w:rsidP="000F0796">
      <w:pPr>
        <w:spacing w:after="0" w:line="240" w:lineRule="auto"/>
        <w:contextualSpacing/>
        <w:jc w:val="both"/>
        <w:rPr>
          <w:rFonts w:ascii="Times New Roman" w:hAnsi="Times New Roman" w:cs="Times New Roman"/>
        </w:rPr>
      </w:pPr>
      <w:r w:rsidRPr="00F349B8">
        <w:rPr>
          <w:rFonts w:ascii="Times New Roman" w:hAnsi="Times New Roman" w:cs="Times New Roman"/>
        </w:rPr>
        <w:t xml:space="preserve">Costa, S., Duyck, W., Van </w:t>
      </w:r>
      <w:proofErr w:type="spellStart"/>
      <w:r w:rsidRPr="00F349B8">
        <w:rPr>
          <w:rFonts w:ascii="Times New Roman" w:hAnsi="Times New Roman" w:cs="Times New Roman"/>
        </w:rPr>
        <w:t>Wouwe</w:t>
      </w:r>
      <w:proofErr w:type="spellEnd"/>
      <w:r w:rsidRPr="00F349B8">
        <w:rPr>
          <w:rFonts w:ascii="Times New Roman" w:hAnsi="Times New Roman" w:cs="Times New Roman"/>
        </w:rPr>
        <w:t>, E., &amp; Dirix, N. (2024). Nudging safety behavior in the steel industry: Evidence from two field studies. </w:t>
      </w:r>
      <w:r w:rsidRPr="00F349B8">
        <w:rPr>
          <w:rFonts w:ascii="Times New Roman" w:hAnsi="Times New Roman" w:cs="Times New Roman"/>
          <w:i/>
          <w:iCs/>
        </w:rPr>
        <w:t>Safety science</w:t>
      </w:r>
      <w:r w:rsidRPr="00F349B8">
        <w:rPr>
          <w:rFonts w:ascii="Times New Roman" w:hAnsi="Times New Roman" w:cs="Times New Roman"/>
        </w:rPr>
        <w:t>, </w:t>
      </w:r>
      <w:r w:rsidRPr="00F349B8">
        <w:rPr>
          <w:rFonts w:ascii="Times New Roman" w:hAnsi="Times New Roman" w:cs="Times New Roman"/>
          <w:i/>
          <w:iCs/>
        </w:rPr>
        <w:t>173</w:t>
      </w:r>
      <w:r w:rsidRPr="00F349B8">
        <w:rPr>
          <w:rFonts w:ascii="Times New Roman" w:hAnsi="Times New Roman" w:cs="Times New Roman"/>
        </w:rPr>
        <w:t>, 106444.</w:t>
      </w:r>
    </w:p>
    <w:p w14:paraId="03632563" w14:textId="77777777" w:rsidR="00071064" w:rsidRDefault="00071064" w:rsidP="000F0796">
      <w:pPr>
        <w:spacing w:after="0" w:line="240" w:lineRule="auto"/>
        <w:contextualSpacing/>
        <w:jc w:val="both"/>
        <w:rPr>
          <w:rFonts w:ascii="Times New Roman" w:hAnsi="Times New Roman" w:cs="Times New Roman"/>
        </w:rPr>
      </w:pPr>
      <w:r w:rsidRPr="00071064">
        <w:rPr>
          <w:rFonts w:ascii="Times New Roman" w:hAnsi="Times New Roman" w:cs="Times New Roman"/>
        </w:rPr>
        <w:t xml:space="preserve">Employment Development Department, State of California. (2026, January). </w:t>
      </w:r>
      <w:r w:rsidRPr="00071064">
        <w:rPr>
          <w:rFonts w:ascii="Times New Roman" w:hAnsi="Times New Roman" w:cs="Times New Roman"/>
          <w:i/>
          <w:iCs/>
        </w:rPr>
        <w:t>Current Monthly Employment (Not Seasonally Adjusted), January 2026</w:t>
      </w:r>
      <w:r w:rsidRPr="00071064">
        <w:rPr>
          <w:rFonts w:ascii="Times New Roman" w:hAnsi="Times New Roman" w:cs="Times New Roman"/>
        </w:rPr>
        <w:t>. Labor Market Information Division. Retrieved from California Employment by Industry Data website</w:t>
      </w:r>
      <w:r>
        <w:rPr>
          <w:rFonts w:ascii="Times New Roman" w:hAnsi="Times New Roman" w:cs="Times New Roman"/>
        </w:rPr>
        <w:t xml:space="preserve"> </w:t>
      </w:r>
      <w:hyperlink r:id="rId9" w:history="1">
        <w:r w:rsidRPr="00071064">
          <w:rPr>
            <w:rStyle w:val="Hyperlink"/>
            <w:rFonts w:ascii="Times New Roman" w:hAnsi="Times New Roman" w:cs="Times New Roman"/>
          </w:rPr>
          <w:t>Employment by Industry Data</w:t>
        </w:r>
      </w:hyperlink>
      <w:r>
        <w:rPr>
          <w:rFonts w:ascii="Times New Roman" w:hAnsi="Times New Roman" w:cs="Times New Roman"/>
        </w:rPr>
        <w:t>.</w:t>
      </w:r>
    </w:p>
    <w:p w14:paraId="4CAF9CC3" w14:textId="0FAD73D2" w:rsidR="000F5FEE" w:rsidRDefault="000F5FEE" w:rsidP="000F0796">
      <w:pPr>
        <w:spacing w:after="0" w:line="240" w:lineRule="auto"/>
        <w:contextualSpacing/>
        <w:jc w:val="both"/>
        <w:rPr>
          <w:rFonts w:ascii="Times New Roman" w:hAnsi="Times New Roman" w:cs="Times New Roman"/>
        </w:rPr>
      </w:pPr>
      <w:r w:rsidRPr="000F5FEE">
        <w:rPr>
          <w:rFonts w:ascii="Times New Roman" w:hAnsi="Times New Roman" w:cs="Times New Roman"/>
        </w:rPr>
        <w:t>Geller, E. S. (2001). Behavior-based safety in industry: Realizing the large-scale potential of psychology to promote human welfare. </w:t>
      </w:r>
      <w:r w:rsidRPr="000F5FEE">
        <w:rPr>
          <w:rFonts w:ascii="Times New Roman" w:hAnsi="Times New Roman" w:cs="Times New Roman"/>
          <w:i/>
          <w:iCs/>
        </w:rPr>
        <w:t>Applied and Preventive Psychology</w:t>
      </w:r>
      <w:r w:rsidRPr="000F5FEE">
        <w:rPr>
          <w:rFonts w:ascii="Times New Roman" w:hAnsi="Times New Roman" w:cs="Times New Roman"/>
        </w:rPr>
        <w:t>, </w:t>
      </w:r>
      <w:r w:rsidRPr="000F5FEE">
        <w:rPr>
          <w:rFonts w:ascii="Times New Roman" w:hAnsi="Times New Roman" w:cs="Times New Roman"/>
          <w:i/>
          <w:iCs/>
        </w:rPr>
        <w:t>10</w:t>
      </w:r>
      <w:r w:rsidRPr="000F5FEE">
        <w:rPr>
          <w:rFonts w:ascii="Times New Roman" w:hAnsi="Times New Roman" w:cs="Times New Roman"/>
        </w:rPr>
        <w:t>(2), 87-105.</w:t>
      </w:r>
    </w:p>
    <w:p w14:paraId="68826D91" w14:textId="6EB24903" w:rsidR="00096B13" w:rsidRDefault="00096B13" w:rsidP="000F0796">
      <w:pPr>
        <w:spacing w:after="0" w:line="240" w:lineRule="auto"/>
        <w:contextualSpacing/>
        <w:jc w:val="both"/>
        <w:rPr>
          <w:rFonts w:ascii="Times New Roman" w:hAnsi="Times New Roman" w:cs="Times New Roman"/>
        </w:rPr>
      </w:pPr>
      <w:r w:rsidRPr="00096B13">
        <w:rPr>
          <w:rFonts w:ascii="Times New Roman" w:hAnsi="Times New Roman" w:cs="Times New Roman"/>
        </w:rPr>
        <w:t xml:space="preserve">Langer, C. E., Mitchell, D. C., Armitage, T. L., Moyce, S. C., Tancredi, D. J., Castro, J., ... &amp; Schenker, M. B. (2021). Are Cal/OSHA regulations protecting farmworkers in California from heat-related </w:t>
      </w:r>
      <w:proofErr w:type="gramStart"/>
      <w:r w:rsidRPr="00096B13">
        <w:rPr>
          <w:rFonts w:ascii="Times New Roman" w:hAnsi="Times New Roman" w:cs="Times New Roman"/>
        </w:rPr>
        <w:t>illness?.</w:t>
      </w:r>
      <w:proofErr w:type="gramEnd"/>
      <w:r w:rsidRPr="00096B13">
        <w:rPr>
          <w:rFonts w:ascii="Times New Roman" w:hAnsi="Times New Roman" w:cs="Times New Roman"/>
        </w:rPr>
        <w:t> </w:t>
      </w:r>
      <w:r w:rsidRPr="00096B13">
        <w:rPr>
          <w:rFonts w:ascii="Times New Roman" w:hAnsi="Times New Roman" w:cs="Times New Roman"/>
          <w:i/>
          <w:iCs/>
        </w:rPr>
        <w:t>Journal of occupational and environmental medicine</w:t>
      </w:r>
      <w:r w:rsidRPr="00096B13">
        <w:rPr>
          <w:rFonts w:ascii="Times New Roman" w:hAnsi="Times New Roman" w:cs="Times New Roman"/>
        </w:rPr>
        <w:t>, </w:t>
      </w:r>
      <w:r w:rsidRPr="00096B13">
        <w:rPr>
          <w:rFonts w:ascii="Times New Roman" w:hAnsi="Times New Roman" w:cs="Times New Roman"/>
          <w:i/>
          <w:iCs/>
        </w:rPr>
        <w:t>63</w:t>
      </w:r>
      <w:r w:rsidRPr="00096B13">
        <w:rPr>
          <w:rFonts w:ascii="Times New Roman" w:hAnsi="Times New Roman" w:cs="Times New Roman"/>
        </w:rPr>
        <w:t>(6), 532-539.</w:t>
      </w:r>
    </w:p>
    <w:p w14:paraId="541E5B59" w14:textId="77777777" w:rsidR="00F349B8" w:rsidRPr="00F349B8" w:rsidRDefault="00F349B8" w:rsidP="000F0796">
      <w:pPr>
        <w:spacing w:after="0" w:line="240" w:lineRule="auto"/>
        <w:contextualSpacing/>
        <w:jc w:val="both"/>
        <w:rPr>
          <w:rFonts w:ascii="Times New Roman" w:hAnsi="Times New Roman" w:cs="Times New Roman"/>
        </w:rPr>
      </w:pPr>
      <w:r w:rsidRPr="00F349B8">
        <w:rPr>
          <w:rFonts w:ascii="Times New Roman" w:hAnsi="Times New Roman" w:cs="Times New Roman"/>
        </w:rPr>
        <w:t>Lindhout, P., &amp; Reniers, G. (2017). What about nudges in the process industry? Exploring a new safety management tool. </w:t>
      </w:r>
      <w:r w:rsidRPr="00F349B8">
        <w:rPr>
          <w:rFonts w:ascii="Times New Roman" w:hAnsi="Times New Roman" w:cs="Times New Roman"/>
          <w:i/>
          <w:iCs/>
        </w:rPr>
        <w:t>Journal of Loss Prevention in the Process Industries</w:t>
      </w:r>
      <w:r w:rsidRPr="00F349B8">
        <w:rPr>
          <w:rFonts w:ascii="Times New Roman" w:hAnsi="Times New Roman" w:cs="Times New Roman"/>
        </w:rPr>
        <w:t>, </w:t>
      </w:r>
      <w:r w:rsidRPr="00F349B8">
        <w:rPr>
          <w:rFonts w:ascii="Times New Roman" w:hAnsi="Times New Roman" w:cs="Times New Roman"/>
          <w:i/>
          <w:iCs/>
        </w:rPr>
        <w:t>50</w:t>
      </w:r>
      <w:r w:rsidRPr="00F349B8">
        <w:rPr>
          <w:rFonts w:ascii="Times New Roman" w:hAnsi="Times New Roman" w:cs="Times New Roman"/>
        </w:rPr>
        <w:t>, 243-256.</w:t>
      </w:r>
    </w:p>
    <w:p w14:paraId="68406E4D" w14:textId="77777777" w:rsidR="00C63DE1" w:rsidRDefault="00C63DE1" w:rsidP="000F0796">
      <w:pPr>
        <w:spacing w:after="0" w:line="240" w:lineRule="auto"/>
        <w:contextualSpacing/>
        <w:jc w:val="both"/>
        <w:rPr>
          <w:rFonts w:ascii="Times New Roman" w:hAnsi="Times New Roman" w:cs="Times New Roman"/>
        </w:rPr>
      </w:pPr>
      <w:r w:rsidRPr="00C63DE1">
        <w:rPr>
          <w:rFonts w:ascii="Times New Roman" w:hAnsi="Times New Roman" w:cs="Times New Roman"/>
        </w:rPr>
        <w:t>Mullen, J. (2004). Investigating factors that influence individual safety behavior at work. </w:t>
      </w:r>
      <w:r w:rsidRPr="00C63DE1">
        <w:rPr>
          <w:rFonts w:ascii="Times New Roman" w:hAnsi="Times New Roman" w:cs="Times New Roman"/>
          <w:i/>
          <w:iCs/>
        </w:rPr>
        <w:t>Journal of safety research</w:t>
      </w:r>
      <w:r w:rsidRPr="00C63DE1">
        <w:rPr>
          <w:rFonts w:ascii="Times New Roman" w:hAnsi="Times New Roman" w:cs="Times New Roman"/>
        </w:rPr>
        <w:t>, </w:t>
      </w:r>
      <w:r w:rsidRPr="00C63DE1">
        <w:rPr>
          <w:rFonts w:ascii="Times New Roman" w:hAnsi="Times New Roman" w:cs="Times New Roman"/>
          <w:i/>
          <w:iCs/>
        </w:rPr>
        <w:t>35</w:t>
      </w:r>
      <w:r w:rsidRPr="00C63DE1">
        <w:rPr>
          <w:rFonts w:ascii="Times New Roman" w:hAnsi="Times New Roman" w:cs="Times New Roman"/>
        </w:rPr>
        <w:t>(3), 275-285.</w:t>
      </w:r>
    </w:p>
    <w:p w14:paraId="08FA572D" w14:textId="06DEDA92" w:rsidR="000F5FEE" w:rsidRPr="00C63DE1" w:rsidRDefault="000F5FEE" w:rsidP="000F0796">
      <w:pPr>
        <w:spacing w:after="0" w:line="240" w:lineRule="auto"/>
        <w:contextualSpacing/>
        <w:jc w:val="both"/>
        <w:rPr>
          <w:rFonts w:ascii="Times New Roman" w:hAnsi="Times New Roman" w:cs="Times New Roman"/>
        </w:rPr>
      </w:pPr>
      <w:r w:rsidRPr="000F5FEE">
        <w:rPr>
          <w:rFonts w:ascii="Times New Roman" w:hAnsi="Times New Roman" w:cs="Times New Roman"/>
        </w:rPr>
        <w:t>Neal, A., &amp; Griffin, M. A. (2006). A study of the lagged relationships among safety climate, safety motivation, safety behavior, and accidents at the individual and group levels. </w:t>
      </w:r>
      <w:r w:rsidRPr="000F5FEE">
        <w:rPr>
          <w:rFonts w:ascii="Times New Roman" w:hAnsi="Times New Roman" w:cs="Times New Roman"/>
          <w:i/>
          <w:iCs/>
        </w:rPr>
        <w:t>Journal of applied psychology</w:t>
      </w:r>
      <w:r w:rsidRPr="000F5FEE">
        <w:rPr>
          <w:rFonts w:ascii="Times New Roman" w:hAnsi="Times New Roman" w:cs="Times New Roman"/>
        </w:rPr>
        <w:t>, </w:t>
      </w:r>
      <w:r w:rsidRPr="000F5FEE">
        <w:rPr>
          <w:rFonts w:ascii="Times New Roman" w:hAnsi="Times New Roman" w:cs="Times New Roman"/>
          <w:i/>
          <w:iCs/>
        </w:rPr>
        <w:t>91</w:t>
      </w:r>
      <w:r w:rsidRPr="000F5FEE">
        <w:rPr>
          <w:rFonts w:ascii="Times New Roman" w:hAnsi="Times New Roman" w:cs="Times New Roman"/>
        </w:rPr>
        <w:t>(4), 946.</w:t>
      </w:r>
    </w:p>
    <w:p w14:paraId="74F0E887" w14:textId="013936DB" w:rsidR="00F30451" w:rsidRDefault="00F30451" w:rsidP="000F0796">
      <w:pPr>
        <w:spacing w:after="0" w:line="240" w:lineRule="auto"/>
        <w:contextualSpacing/>
        <w:jc w:val="both"/>
        <w:rPr>
          <w:rFonts w:ascii="Times New Roman" w:hAnsi="Times New Roman" w:cs="Times New Roman"/>
        </w:rPr>
      </w:pPr>
      <w:r w:rsidRPr="00F30451">
        <w:rPr>
          <w:rFonts w:ascii="Times New Roman" w:hAnsi="Times New Roman" w:cs="Times New Roman"/>
        </w:rPr>
        <w:t xml:space="preserve">Occupational Safety and Health Administration. (n.d.). </w:t>
      </w:r>
      <w:r w:rsidRPr="00F30451">
        <w:rPr>
          <w:rFonts w:ascii="Times New Roman" w:hAnsi="Times New Roman" w:cs="Times New Roman"/>
          <w:i/>
          <w:iCs/>
        </w:rPr>
        <w:t>Laws and regulations</w:t>
      </w:r>
      <w:r w:rsidRPr="00F30451">
        <w:rPr>
          <w:rFonts w:ascii="Times New Roman" w:hAnsi="Times New Roman" w:cs="Times New Roman"/>
        </w:rPr>
        <w:t>. U.S. Department of Labor</w:t>
      </w:r>
      <w:r>
        <w:rPr>
          <w:rFonts w:ascii="Times New Roman" w:hAnsi="Times New Roman" w:cs="Times New Roman"/>
        </w:rPr>
        <w:t xml:space="preserve">, accessed at </w:t>
      </w:r>
      <w:hyperlink r:id="rId10" w:history="1">
        <w:r w:rsidRPr="00F30451">
          <w:rPr>
            <w:rStyle w:val="Hyperlink"/>
            <w:rFonts w:ascii="Times New Roman" w:hAnsi="Times New Roman" w:cs="Times New Roman"/>
          </w:rPr>
          <w:t>Laws and Regulations | Occupational Safety and Health Administration</w:t>
        </w:r>
      </w:hyperlink>
    </w:p>
    <w:p w14:paraId="42BF66EE" w14:textId="2AA772EE" w:rsidR="0091128F" w:rsidRDefault="0091128F" w:rsidP="000F0796">
      <w:pPr>
        <w:spacing w:after="0" w:line="240" w:lineRule="auto"/>
        <w:contextualSpacing/>
        <w:jc w:val="both"/>
        <w:rPr>
          <w:rFonts w:ascii="Times New Roman" w:hAnsi="Times New Roman" w:cs="Times New Roman"/>
        </w:rPr>
      </w:pPr>
      <w:r w:rsidRPr="0091128F">
        <w:rPr>
          <w:rFonts w:ascii="Times New Roman" w:hAnsi="Times New Roman" w:cs="Times New Roman"/>
        </w:rPr>
        <w:t xml:space="preserve">Thaler, R. H., &amp; Sunstein, C. R. (2008). </w:t>
      </w:r>
      <w:r w:rsidRPr="0091128F">
        <w:rPr>
          <w:rFonts w:ascii="Times New Roman" w:hAnsi="Times New Roman" w:cs="Times New Roman"/>
          <w:i/>
          <w:iCs/>
        </w:rPr>
        <w:t>Nudge: Improving decisions about health, wealth, and happiness</w:t>
      </w:r>
      <w:r w:rsidRPr="0091128F">
        <w:rPr>
          <w:rFonts w:ascii="Times New Roman" w:hAnsi="Times New Roman" w:cs="Times New Roman"/>
        </w:rPr>
        <w:t>. Yale University Press.</w:t>
      </w:r>
    </w:p>
    <w:p w14:paraId="41EDFB3D" w14:textId="358B7976" w:rsidR="000F5FEE" w:rsidRPr="000F5FEE" w:rsidRDefault="000F5FEE" w:rsidP="000F0796">
      <w:pPr>
        <w:spacing w:after="0" w:line="240" w:lineRule="auto"/>
        <w:contextualSpacing/>
        <w:jc w:val="both"/>
        <w:rPr>
          <w:rFonts w:ascii="Times New Roman" w:hAnsi="Times New Roman" w:cs="Times New Roman"/>
        </w:rPr>
      </w:pPr>
      <w:r w:rsidRPr="000F5FEE">
        <w:rPr>
          <w:rFonts w:ascii="Times New Roman" w:hAnsi="Times New Roman" w:cs="Times New Roman"/>
        </w:rPr>
        <w:t>Zohar, D. (2010). Thirty years of safety climate research: Reflections and future directions. </w:t>
      </w:r>
      <w:r w:rsidRPr="000F5FEE">
        <w:rPr>
          <w:rFonts w:ascii="Times New Roman" w:hAnsi="Times New Roman" w:cs="Times New Roman"/>
          <w:i/>
          <w:iCs/>
        </w:rPr>
        <w:t>Accident analysis &amp; prevention</w:t>
      </w:r>
      <w:r w:rsidRPr="000F5FEE">
        <w:rPr>
          <w:rFonts w:ascii="Times New Roman" w:hAnsi="Times New Roman" w:cs="Times New Roman"/>
        </w:rPr>
        <w:t>, </w:t>
      </w:r>
      <w:r w:rsidRPr="000F5FEE">
        <w:rPr>
          <w:rFonts w:ascii="Times New Roman" w:hAnsi="Times New Roman" w:cs="Times New Roman"/>
          <w:i/>
          <w:iCs/>
        </w:rPr>
        <w:t>42</w:t>
      </w:r>
      <w:r w:rsidRPr="000F5FEE">
        <w:rPr>
          <w:rFonts w:ascii="Times New Roman" w:hAnsi="Times New Roman" w:cs="Times New Roman"/>
        </w:rPr>
        <w:t>(5), 1517-1522.</w:t>
      </w:r>
    </w:p>
    <w:p w14:paraId="32C212CB" w14:textId="77777777" w:rsidR="000F0796" w:rsidRPr="000F5FEE" w:rsidRDefault="000F0796">
      <w:pPr>
        <w:spacing w:after="0" w:line="240" w:lineRule="auto"/>
        <w:contextualSpacing/>
        <w:jc w:val="both"/>
        <w:rPr>
          <w:rFonts w:ascii="Times New Roman" w:hAnsi="Times New Roman" w:cs="Times New Roman"/>
        </w:rPr>
      </w:pPr>
    </w:p>
    <w:sectPr w:rsidR="000F0796" w:rsidRPr="000F5F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E4D3" w14:textId="77777777" w:rsidR="000D754D" w:rsidRDefault="000D754D" w:rsidP="000F0796">
      <w:pPr>
        <w:spacing w:after="0" w:line="240" w:lineRule="auto"/>
      </w:pPr>
      <w:r>
        <w:separator/>
      </w:r>
    </w:p>
  </w:endnote>
  <w:endnote w:type="continuationSeparator" w:id="0">
    <w:p w14:paraId="6644122D" w14:textId="77777777" w:rsidR="000D754D" w:rsidRDefault="000D754D" w:rsidP="000F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3722" w14:textId="77777777" w:rsidR="000D754D" w:rsidRDefault="000D754D" w:rsidP="000F0796">
      <w:pPr>
        <w:spacing w:after="0" w:line="240" w:lineRule="auto"/>
      </w:pPr>
      <w:r>
        <w:separator/>
      </w:r>
    </w:p>
  </w:footnote>
  <w:footnote w:type="continuationSeparator" w:id="0">
    <w:p w14:paraId="20761A20" w14:textId="77777777" w:rsidR="000D754D" w:rsidRDefault="000D754D" w:rsidP="000F0796">
      <w:pPr>
        <w:spacing w:after="0" w:line="240" w:lineRule="auto"/>
      </w:pPr>
      <w:r>
        <w:continuationSeparator/>
      </w:r>
    </w:p>
  </w:footnote>
  <w:footnote w:id="1">
    <w:p w14:paraId="6DD76056" w14:textId="01E64DDC" w:rsidR="000F0796" w:rsidRDefault="000F0796">
      <w:pPr>
        <w:pStyle w:val="FootnoteText"/>
      </w:pPr>
      <w:r>
        <w:rPr>
          <w:rStyle w:val="FootnoteReference"/>
        </w:rPr>
        <w:footnoteRef/>
      </w:r>
      <w:r>
        <w:t xml:space="preserve"> </w:t>
      </w:r>
      <w:hyperlink r:id="rId1" w:history="1">
        <w:r w:rsidRPr="000F0796">
          <w:rPr>
            <w:rStyle w:val="Hyperlink"/>
            <w:rFonts w:ascii="Times New Roman" w:hAnsi="Times New Roman" w:cs="Times New Roman"/>
          </w:rPr>
          <w:t>jdeal@csub.edu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85BCA"/>
    <w:multiLevelType w:val="multilevel"/>
    <w:tmpl w:val="56B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85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6D"/>
    <w:rsid w:val="0002561C"/>
    <w:rsid w:val="00054A74"/>
    <w:rsid w:val="00071064"/>
    <w:rsid w:val="00077FE4"/>
    <w:rsid w:val="00096B13"/>
    <w:rsid w:val="000A5E89"/>
    <w:rsid w:val="000C7BAA"/>
    <w:rsid w:val="000D754D"/>
    <w:rsid w:val="000F0796"/>
    <w:rsid w:val="000F5FEE"/>
    <w:rsid w:val="001246EF"/>
    <w:rsid w:val="001C2CB0"/>
    <w:rsid w:val="001F7B5E"/>
    <w:rsid w:val="00290FCA"/>
    <w:rsid w:val="00294B04"/>
    <w:rsid w:val="002C1DE4"/>
    <w:rsid w:val="002E519C"/>
    <w:rsid w:val="003213E7"/>
    <w:rsid w:val="00323F76"/>
    <w:rsid w:val="0034411A"/>
    <w:rsid w:val="00390303"/>
    <w:rsid w:val="003A4994"/>
    <w:rsid w:val="003C2EC4"/>
    <w:rsid w:val="003F1F94"/>
    <w:rsid w:val="0040614B"/>
    <w:rsid w:val="005B1C6A"/>
    <w:rsid w:val="00667CC2"/>
    <w:rsid w:val="00670F32"/>
    <w:rsid w:val="006C05E9"/>
    <w:rsid w:val="006E6EE1"/>
    <w:rsid w:val="007861E7"/>
    <w:rsid w:val="007D4634"/>
    <w:rsid w:val="007E5365"/>
    <w:rsid w:val="00827D3A"/>
    <w:rsid w:val="0086311C"/>
    <w:rsid w:val="008A4EDE"/>
    <w:rsid w:val="008E4D70"/>
    <w:rsid w:val="009042B2"/>
    <w:rsid w:val="0091128F"/>
    <w:rsid w:val="009174EF"/>
    <w:rsid w:val="00964AD9"/>
    <w:rsid w:val="009A06F3"/>
    <w:rsid w:val="009C1A60"/>
    <w:rsid w:val="009F63D4"/>
    <w:rsid w:val="00A80610"/>
    <w:rsid w:val="00AE71A7"/>
    <w:rsid w:val="00B079B7"/>
    <w:rsid w:val="00B1078E"/>
    <w:rsid w:val="00B6702C"/>
    <w:rsid w:val="00BB0071"/>
    <w:rsid w:val="00BB4A11"/>
    <w:rsid w:val="00BE5798"/>
    <w:rsid w:val="00C000E0"/>
    <w:rsid w:val="00C011FB"/>
    <w:rsid w:val="00C24C05"/>
    <w:rsid w:val="00C3120D"/>
    <w:rsid w:val="00C62A49"/>
    <w:rsid w:val="00C63DE1"/>
    <w:rsid w:val="00C9289F"/>
    <w:rsid w:val="00CB1826"/>
    <w:rsid w:val="00D07721"/>
    <w:rsid w:val="00D07BC9"/>
    <w:rsid w:val="00D37A4F"/>
    <w:rsid w:val="00D77242"/>
    <w:rsid w:val="00DA34AE"/>
    <w:rsid w:val="00DB1D6D"/>
    <w:rsid w:val="00DD71C3"/>
    <w:rsid w:val="00E02F47"/>
    <w:rsid w:val="00E560DD"/>
    <w:rsid w:val="00E646A6"/>
    <w:rsid w:val="00E67839"/>
    <w:rsid w:val="00ED4EE6"/>
    <w:rsid w:val="00EF6858"/>
    <w:rsid w:val="00F30451"/>
    <w:rsid w:val="00F349B8"/>
    <w:rsid w:val="00F72FF3"/>
    <w:rsid w:val="00FC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373D"/>
  <w15:chartTrackingRefBased/>
  <w15:docId w15:val="{16FEC77D-DABC-4009-845F-8D9EC71C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64"/>
  </w:style>
  <w:style w:type="paragraph" w:styleId="Heading1">
    <w:name w:val="heading 1"/>
    <w:basedOn w:val="Normal"/>
    <w:next w:val="Normal"/>
    <w:link w:val="Heading1Char"/>
    <w:uiPriority w:val="9"/>
    <w:qFormat/>
    <w:rsid w:val="00DB1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6D"/>
    <w:rPr>
      <w:rFonts w:eastAsiaTheme="majorEastAsia" w:cstheme="majorBidi"/>
      <w:color w:val="272727" w:themeColor="text1" w:themeTint="D8"/>
    </w:rPr>
  </w:style>
  <w:style w:type="paragraph" w:styleId="Title">
    <w:name w:val="Title"/>
    <w:basedOn w:val="Normal"/>
    <w:next w:val="Normal"/>
    <w:link w:val="TitleChar"/>
    <w:uiPriority w:val="10"/>
    <w:qFormat/>
    <w:rsid w:val="00DB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6D"/>
    <w:pPr>
      <w:spacing w:before="160"/>
      <w:jc w:val="center"/>
    </w:pPr>
    <w:rPr>
      <w:i/>
      <w:iCs/>
      <w:color w:val="404040" w:themeColor="text1" w:themeTint="BF"/>
    </w:rPr>
  </w:style>
  <w:style w:type="character" w:customStyle="1" w:styleId="QuoteChar">
    <w:name w:val="Quote Char"/>
    <w:basedOn w:val="DefaultParagraphFont"/>
    <w:link w:val="Quote"/>
    <w:uiPriority w:val="29"/>
    <w:rsid w:val="00DB1D6D"/>
    <w:rPr>
      <w:i/>
      <w:iCs/>
      <w:color w:val="404040" w:themeColor="text1" w:themeTint="BF"/>
    </w:rPr>
  </w:style>
  <w:style w:type="paragraph" w:styleId="ListParagraph">
    <w:name w:val="List Paragraph"/>
    <w:basedOn w:val="Normal"/>
    <w:uiPriority w:val="34"/>
    <w:qFormat/>
    <w:rsid w:val="00DB1D6D"/>
    <w:pPr>
      <w:ind w:left="720"/>
      <w:contextualSpacing/>
    </w:pPr>
  </w:style>
  <w:style w:type="character" w:styleId="IntenseEmphasis">
    <w:name w:val="Intense Emphasis"/>
    <w:basedOn w:val="DefaultParagraphFont"/>
    <w:uiPriority w:val="21"/>
    <w:qFormat/>
    <w:rsid w:val="00DB1D6D"/>
    <w:rPr>
      <w:i/>
      <w:iCs/>
      <w:color w:val="0F4761" w:themeColor="accent1" w:themeShade="BF"/>
    </w:rPr>
  </w:style>
  <w:style w:type="paragraph" w:styleId="IntenseQuote">
    <w:name w:val="Intense Quote"/>
    <w:basedOn w:val="Normal"/>
    <w:next w:val="Normal"/>
    <w:link w:val="IntenseQuoteChar"/>
    <w:uiPriority w:val="30"/>
    <w:qFormat/>
    <w:rsid w:val="00DB1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D6D"/>
    <w:rPr>
      <w:i/>
      <w:iCs/>
      <w:color w:val="0F4761" w:themeColor="accent1" w:themeShade="BF"/>
    </w:rPr>
  </w:style>
  <w:style w:type="character" w:styleId="IntenseReference">
    <w:name w:val="Intense Reference"/>
    <w:basedOn w:val="DefaultParagraphFont"/>
    <w:uiPriority w:val="32"/>
    <w:qFormat/>
    <w:rsid w:val="00DB1D6D"/>
    <w:rPr>
      <w:b/>
      <w:bCs/>
      <w:smallCaps/>
      <w:color w:val="0F4761" w:themeColor="accent1" w:themeShade="BF"/>
      <w:spacing w:val="5"/>
    </w:rPr>
  </w:style>
  <w:style w:type="character" w:styleId="Hyperlink">
    <w:name w:val="Hyperlink"/>
    <w:basedOn w:val="DefaultParagraphFont"/>
    <w:uiPriority w:val="99"/>
    <w:unhideWhenUsed/>
    <w:rsid w:val="00FC4A3E"/>
    <w:rPr>
      <w:color w:val="467886" w:themeColor="hyperlink"/>
      <w:u w:val="single"/>
    </w:rPr>
  </w:style>
  <w:style w:type="character" w:styleId="UnresolvedMention">
    <w:name w:val="Unresolved Mention"/>
    <w:basedOn w:val="DefaultParagraphFont"/>
    <w:uiPriority w:val="99"/>
    <w:semiHidden/>
    <w:unhideWhenUsed/>
    <w:rsid w:val="00FC4A3E"/>
    <w:rPr>
      <w:color w:val="605E5C"/>
      <w:shd w:val="clear" w:color="auto" w:fill="E1DFDD"/>
    </w:rPr>
  </w:style>
  <w:style w:type="character" w:styleId="FollowedHyperlink">
    <w:name w:val="FollowedHyperlink"/>
    <w:basedOn w:val="DefaultParagraphFont"/>
    <w:uiPriority w:val="99"/>
    <w:semiHidden/>
    <w:unhideWhenUsed/>
    <w:rsid w:val="003F1F94"/>
    <w:rPr>
      <w:color w:val="96607D" w:themeColor="followedHyperlink"/>
      <w:u w:val="single"/>
    </w:rPr>
  </w:style>
  <w:style w:type="paragraph" w:styleId="FootnoteText">
    <w:name w:val="footnote text"/>
    <w:basedOn w:val="Normal"/>
    <w:link w:val="FootnoteTextChar"/>
    <w:uiPriority w:val="99"/>
    <w:semiHidden/>
    <w:unhideWhenUsed/>
    <w:rsid w:val="000F0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796"/>
    <w:rPr>
      <w:sz w:val="20"/>
      <w:szCs w:val="20"/>
    </w:rPr>
  </w:style>
  <w:style w:type="character" w:styleId="FootnoteReference">
    <w:name w:val="footnote reference"/>
    <w:basedOn w:val="DefaultParagraphFont"/>
    <w:uiPriority w:val="99"/>
    <w:semiHidden/>
    <w:unhideWhenUsed/>
    <w:rsid w:val="000F0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OPRL/Injuries/2023/Menu.htm" TargetMode="External"/><Relationship Id="rId3" Type="http://schemas.openxmlformats.org/officeDocument/2006/relationships/settings" Target="settings.xml"/><Relationship Id="rId7" Type="http://schemas.openxmlformats.org/officeDocument/2006/relationships/hyperlink" Target="https://www.bls.gov/iif/state-data/fatal-occupational-injuries-in-california-202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sha.gov/laws-regs" TargetMode="External"/><Relationship Id="rId4" Type="http://schemas.openxmlformats.org/officeDocument/2006/relationships/webSettings" Target="webSettings.xml"/><Relationship Id="rId9" Type="http://schemas.openxmlformats.org/officeDocument/2006/relationships/hyperlink" Target="https://labormarketinfo.edd.ca.gov/data/employment-by-industr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deal@cs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1659</Words>
  <Characters>8981</Characters>
  <Application>Microsoft Office Word</Application>
  <DocSecurity>0</DocSecurity>
  <Lines>1122</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Deal</dc:creator>
  <cp:keywords/>
  <dc:description/>
  <cp:lastModifiedBy>Aaron Hegde</cp:lastModifiedBy>
  <cp:revision>5</cp:revision>
  <dcterms:created xsi:type="dcterms:W3CDTF">2026-01-26T00:49:00Z</dcterms:created>
  <dcterms:modified xsi:type="dcterms:W3CDTF">2026-02-10T23:56:00Z</dcterms:modified>
</cp:coreProperties>
</file>